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F19" w:rsidRPr="002D4224" w:rsidRDefault="00977F19" w:rsidP="00977F19">
      <w:pPr>
        <w:pStyle w:val="Typedocument"/>
        <w:rPr>
          <w:lang w:val="fr-BE"/>
        </w:rPr>
      </w:pPr>
      <w:r w:rsidRPr="002D4224">
        <w:rPr>
          <w:lang w:val="fr-BE"/>
        </w:rPr>
        <w:t>DECISION DE COHORTE</w:t>
      </w:r>
    </w:p>
    <w:p w:rsidR="0071742E" w:rsidRDefault="0071742E" w:rsidP="009015A3">
      <w:pPr>
        <w:jc w:val="both"/>
        <w:rPr>
          <w:rStyle w:val="Sous-titreCar"/>
        </w:rPr>
      </w:pPr>
      <w:bookmarkStart w:id="0" w:name="_GoBack"/>
      <w:bookmarkEnd w:id="0"/>
    </w:p>
    <w:p w:rsidR="009015A3" w:rsidRPr="009A0E8E" w:rsidRDefault="009015A3" w:rsidP="009015A3">
      <w:pPr>
        <w:jc w:val="both"/>
      </w:pPr>
      <w:r w:rsidRPr="009A0E8E">
        <w:rPr>
          <w:rStyle w:val="Sous-titreCar"/>
        </w:rPr>
        <w:t>Dossier:</w:t>
      </w:r>
      <w:r w:rsidRPr="009A0E8E">
        <w:t xml:space="preserve"> </w:t>
      </w:r>
      <w:r w:rsidR="00E3732F" w:rsidRPr="002C3AB0">
        <w:rPr>
          <w:rStyle w:val="Sous-titreCar"/>
        </w:rPr>
        <w:t>1</w:t>
      </w:r>
      <w:r w:rsidR="004B4F83">
        <w:rPr>
          <w:rStyle w:val="Sous-titreCar"/>
        </w:rPr>
        <w:t>05</w:t>
      </w:r>
      <w:r w:rsidR="00E3732F" w:rsidRPr="002C3AB0">
        <w:rPr>
          <w:rStyle w:val="Sous-titreCar"/>
        </w:rPr>
        <w:t>3</w:t>
      </w:r>
      <w:r w:rsidRPr="009A0E8E">
        <w:t xml:space="preserve"> </w:t>
      </w:r>
    </w:p>
    <w:p w:rsidR="00DB6125" w:rsidRPr="00C908FD" w:rsidRDefault="00DB6125" w:rsidP="00E3732F">
      <w:pPr>
        <w:pStyle w:val="Sansinterligne"/>
        <w:rPr>
          <w:rStyle w:val="Titredulivre"/>
        </w:rPr>
      </w:pPr>
      <w:r w:rsidRPr="00C908FD">
        <w:rPr>
          <w:rStyle w:val="Titredulivre"/>
        </w:rPr>
        <w:t>RYDAPT</w:t>
      </w:r>
    </w:p>
    <w:p w:rsidR="00E3732F" w:rsidRPr="00C908FD" w:rsidRDefault="00DB6125" w:rsidP="00E3732F">
      <w:pPr>
        <w:pStyle w:val="Sansinterligne"/>
        <w:rPr>
          <w:rStyle w:val="Titredulivre"/>
        </w:rPr>
      </w:pPr>
      <w:r w:rsidRPr="00C908FD">
        <w:rPr>
          <w:rStyle w:val="Titredulivre"/>
        </w:rPr>
        <w:t>(</w:t>
      </w:r>
      <w:proofErr w:type="spellStart"/>
      <w:r w:rsidRPr="00C908FD">
        <w:rPr>
          <w:rStyle w:val="Titredulivre"/>
        </w:rPr>
        <w:t>midostaurin</w:t>
      </w:r>
      <w:proofErr w:type="spellEnd"/>
      <w:r w:rsidRPr="00C908FD">
        <w:rPr>
          <w:rStyle w:val="Titredulivre"/>
        </w:rPr>
        <w:t>)</w:t>
      </w:r>
    </w:p>
    <w:p w:rsidR="00E3732F" w:rsidRPr="0071742E" w:rsidRDefault="00E3732F" w:rsidP="00E3732F">
      <w:pPr>
        <w:pStyle w:val="Sansinterligne"/>
        <w:rPr>
          <w:rStyle w:val="Titredulivre"/>
        </w:rPr>
      </w:pPr>
      <w:r w:rsidRPr="0071742E">
        <w:rPr>
          <w:rStyle w:val="Titredulivre"/>
        </w:rPr>
        <w:t xml:space="preserve">25 mg </w:t>
      </w:r>
      <w:r w:rsidRPr="00394DBD">
        <w:rPr>
          <w:rStyle w:val="Titredulivre"/>
          <w:lang w:val="fr-BE"/>
        </w:rPr>
        <w:t>capsules</w:t>
      </w:r>
      <w:r w:rsidR="0071742E" w:rsidRPr="00394DBD">
        <w:rPr>
          <w:rStyle w:val="Titredulivre"/>
          <w:lang w:val="fr-BE"/>
        </w:rPr>
        <w:t xml:space="preserve"> molles</w:t>
      </w:r>
    </w:p>
    <w:p w:rsidR="009015A3" w:rsidRPr="0071742E" w:rsidRDefault="009015A3" w:rsidP="009015A3">
      <w:pPr>
        <w:pStyle w:val="Sansinterligne"/>
      </w:pPr>
    </w:p>
    <w:p w:rsidR="00C908FD" w:rsidRPr="008F7317" w:rsidRDefault="009015A3" w:rsidP="00C908FD">
      <w:pPr>
        <w:pStyle w:val="Sansinterligne"/>
      </w:pPr>
      <w:r w:rsidRPr="0071742E">
        <w:rPr>
          <w:sz w:val="22"/>
          <w:szCs w:val="22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 w:themeFill="text2" w:themeFillTint="33"/>
        <w:tblLayout w:type="fixed"/>
        <w:tblLook w:val="0000" w:firstRow="0" w:lastRow="0" w:firstColumn="0" w:lastColumn="0" w:noHBand="0" w:noVBand="0"/>
      </w:tblPr>
      <w:tblGrid>
        <w:gridCol w:w="9852"/>
      </w:tblGrid>
      <w:tr w:rsidR="00C908FD" w:rsidRPr="009015A3" w:rsidTr="00C908FD">
        <w:trPr>
          <w:cantSplit/>
        </w:trPr>
        <w:tc>
          <w:tcPr>
            <w:tcW w:w="9852" w:type="dxa"/>
            <w:shd w:val="clear" w:color="auto" w:fill="C6D9F1" w:themeFill="text2" w:themeFillTint="33"/>
          </w:tcPr>
          <w:p w:rsidR="00C908FD" w:rsidRPr="00147843" w:rsidRDefault="0071742E" w:rsidP="00C908FD">
            <w:pPr>
              <w:jc w:val="both"/>
              <w:rPr>
                <w:lang w:val="fr-BE"/>
              </w:rPr>
            </w:pPr>
            <w:r>
              <w:rPr>
                <w:b/>
                <w:lang w:val="fr-BE"/>
              </w:rPr>
              <w:t>COHORTE MIXTE</w:t>
            </w:r>
          </w:p>
        </w:tc>
      </w:tr>
    </w:tbl>
    <w:p w:rsidR="00E22665" w:rsidRPr="00E22665" w:rsidRDefault="00E22665" w:rsidP="00C908FD">
      <w:pPr>
        <w:tabs>
          <w:tab w:val="left" w:pos="930"/>
        </w:tabs>
        <w:jc w:val="both"/>
      </w:pPr>
    </w:p>
    <w:p w:rsidR="00B279BE" w:rsidRPr="00DB6125" w:rsidRDefault="00B279BE" w:rsidP="00C908FD">
      <w:pPr>
        <w:pStyle w:val="Titre2"/>
        <w:numPr>
          <w:ilvl w:val="0"/>
          <w:numId w:val="0"/>
        </w:numPr>
        <w:ind w:left="720" w:hanging="720"/>
        <w:rPr>
          <w:lang w:val="nl-BE"/>
        </w:rPr>
      </w:pPr>
      <w:r w:rsidRPr="00DB6125">
        <w:rPr>
          <w:lang w:val="nl-BE"/>
        </w:rPr>
        <w:t>indicati</w:t>
      </w:r>
      <w:r w:rsidR="0071742E">
        <w:rPr>
          <w:lang w:val="nl-BE"/>
        </w:rPr>
        <w:t>ON</w:t>
      </w:r>
      <w:r w:rsidRPr="00DB6125">
        <w:rPr>
          <w:lang w:val="nl-BE"/>
        </w:rPr>
        <w:t xml:space="preserve"> </w:t>
      </w:r>
      <w:r w:rsidR="0071742E" w:rsidRPr="00DB6125">
        <w:rPr>
          <w:lang w:val="nl-BE"/>
        </w:rPr>
        <w:t>thErapeuti</w:t>
      </w:r>
      <w:r w:rsidR="0071742E">
        <w:rPr>
          <w:lang w:val="nl-BE"/>
        </w:rPr>
        <w:t>QU</w:t>
      </w:r>
      <w:r w:rsidR="0071742E" w:rsidRPr="00DB6125">
        <w:rPr>
          <w:lang w:val="nl-BE"/>
        </w:rPr>
        <w:t>e</w:t>
      </w:r>
    </w:p>
    <w:p w:rsidR="00B279BE" w:rsidRDefault="00B279BE" w:rsidP="00B279BE">
      <w:pPr>
        <w:pStyle w:val="Sansinterligne"/>
      </w:pPr>
    </w:p>
    <w:p w:rsidR="00DB6125" w:rsidRPr="0071742E" w:rsidRDefault="0071742E" w:rsidP="00DB6125">
      <w:pPr>
        <w:jc w:val="both"/>
        <w:rPr>
          <w:lang w:val="fr-BE"/>
        </w:rPr>
      </w:pPr>
      <w:r w:rsidRPr="0071742E">
        <w:rPr>
          <w:lang w:val="fr-BE"/>
        </w:rPr>
        <w:t>Traitements des patients adultes atteints de leucémie myéloïde aigu</w:t>
      </w:r>
      <w:r>
        <w:rPr>
          <w:lang w:val="fr-BE"/>
        </w:rPr>
        <w:t>ë</w:t>
      </w:r>
      <w:r w:rsidRPr="0071742E">
        <w:rPr>
          <w:lang w:val="fr-BE"/>
        </w:rPr>
        <w:t xml:space="preserve"> </w:t>
      </w:r>
      <w:r w:rsidR="00CE7CCE" w:rsidRPr="0071742E">
        <w:rPr>
          <w:lang w:val="fr-BE"/>
        </w:rPr>
        <w:t>nouvellement diagnostiqué</w:t>
      </w:r>
      <w:r w:rsidR="00CE7CCE">
        <w:rPr>
          <w:lang w:val="fr-BE"/>
        </w:rPr>
        <w:t>e avec mutation</w:t>
      </w:r>
      <w:r w:rsidR="00CE7CCE" w:rsidRPr="0071742E">
        <w:rPr>
          <w:lang w:val="fr-BE"/>
        </w:rPr>
        <w:t xml:space="preserve"> </w:t>
      </w:r>
      <w:r w:rsidRPr="0071742E">
        <w:rPr>
          <w:lang w:val="fr-BE"/>
        </w:rPr>
        <w:t>FLT3</w:t>
      </w:r>
      <w:r w:rsidR="00CE7CCE">
        <w:rPr>
          <w:lang w:val="fr-BE"/>
        </w:rPr>
        <w:t>,</w:t>
      </w:r>
      <w:r w:rsidR="00DB6125" w:rsidRPr="0071742E">
        <w:rPr>
          <w:lang w:val="fr-BE"/>
        </w:rPr>
        <w:t xml:space="preserve"> </w:t>
      </w:r>
      <w:r w:rsidR="00CE7CCE">
        <w:rPr>
          <w:lang w:val="fr-BE"/>
        </w:rPr>
        <w:t>éligibles à</w:t>
      </w:r>
      <w:r w:rsidRPr="0071742E">
        <w:rPr>
          <w:lang w:val="fr-BE"/>
        </w:rPr>
        <w:t xml:space="preserve"> une chimiothérapie d’induction et de consolidation</w:t>
      </w:r>
      <w:r w:rsidR="00CE7CCE" w:rsidRPr="00CE7CCE">
        <w:rPr>
          <w:lang w:val="fr-BE"/>
        </w:rPr>
        <w:t xml:space="preserve"> </w:t>
      </w:r>
      <w:r w:rsidR="00CE7CCE" w:rsidRPr="0071742E">
        <w:rPr>
          <w:lang w:val="fr-BE"/>
        </w:rPr>
        <w:t>standard</w:t>
      </w:r>
      <w:r w:rsidRPr="0071742E">
        <w:rPr>
          <w:lang w:val="fr-BE"/>
        </w:rPr>
        <w:t xml:space="preserve">. </w:t>
      </w:r>
    </w:p>
    <w:p w:rsidR="00C908FD" w:rsidRPr="0071742E" w:rsidRDefault="00C908FD" w:rsidP="00B279BE">
      <w:pPr>
        <w:pStyle w:val="Sansinterligne"/>
        <w:rPr>
          <w:lang w:val="fr-BE"/>
        </w:rPr>
      </w:pPr>
    </w:p>
    <w:p w:rsidR="00B279BE" w:rsidRPr="00903A23" w:rsidRDefault="0071742E" w:rsidP="00C908FD">
      <w:pPr>
        <w:pStyle w:val="Titre2"/>
        <w:numPr>
          <w:ilvl w:val="0"/>
          <w:numId w:val="0"/>
        </w:numPr>
        <w:ind w:left="720" w:hanging="720"/>
      </w:pPr>
      <w:r>
        <w:t>DESCRIPTION DE LA</w:t>
      </w:r>
      <w:r w:rsidR="00DB6125">
        <w:t xml:space="preserve"> </w:t>
      </w:r>
      <w:r w:rsidR="00B279BE">
        <w:t>cohort</w:t>
      </w:r>
      <w:r>
        <w:t>E</w:t>
      </w:r>
    </w:p>
    <w:p w:rsidR="00B279BE" w:rsidRPr="00A77546" w:rsidRDefault="00B279BE" w:rsidP="00B279BE">
      <w:pPr>
        <w:pStyle w:val="Sansinterligne"/>
        <w:jc w:val="both"/>
        <w:rPr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89"/>
      </w:tblGrid>
      <w:tr w:rsidR="00B279BE" w:rsidRPr="0071742E" w:rsidTr="00B279BE">
        <w:trPr>
          <w:cantSplit/>
          <w:trHeight w:val="110"/>
        </w:trPr>
        <w:tc>
          <w:tcPr>
            <w:tcW w:w="9889" w:type="dxa"/>
            <w:shd w:val="clear" w:color="auto" w:fill="C6D9F1" w:themeFill="text2" w:themeFillTint="33"/>
          </w:tcPr>
          <w:p w:rsidR="00B279BE" w:rsidRPr="0071742E" w:rsidRDefault="0071742E" w:rsidP="0071742E">
            <w:pPr>
              <w:jc w:val="both"/>
              <w:rPr>
                <w:b/>
                <w:lang w:val="fr-BE"/>
              </w:rPr>
            </w:pPr>
            <w:r>
              <w:rPr>
                <w:b/>
                <w:lang w:val="fr-BE"/>
              </w:rPr>
              <w:t>Description de la cohorte</w:t>
            </w:r>
          </w:p>
        </w:tc>
      </w:tr>
      <w:tr w:rsidR="00B279BE" w:rsidRPr="0071742E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B279BE" w:rsidRPr="0071742E" w:rsidRDefault="0071742E" w:rsidP="00DB6125">
            <w:pPr>
              <w:rPr>
                <w:lang w:val="fr-BE"/>
              </w:rPr>
            </w:pPr>
            <w:r w:rsidRPr="0071742E">
              <w:rPr>
                <w:lang w:val="fr-BE"/>
              </w:rPr>
              <w:t>Critères d’inclusion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8E5774" w:rsidRDefault="005000BB" w:rsidP="008E5774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b/>
                <w:sz w:val="20"/>
                <w:lang w:val="fr-BE"/>
              </w:rPr>
            </w:pPr>
            <w:r w:rsidRPr="005000BB">
              <w:rPr>
                <w:rFonts w:asciiTheme="minorHAnsi" w:hAnsiTheme="minorHAnsi"/>
                <w:sz w:val="20"/>
                <w:lang w:val="fr-BE"/>
              </w:rPr>
              <w:t>Le patient ne peut pas être traité de manière satisfaisante avec les options de traitement alternatives approuvées et disponibles commerc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ialement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fr-BE"/>
              </w:rPr>
              <w:t>y compris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la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transplantati</w:t>
            </w:r>
            <w:r>
              <w:rPr>
                <w:rFonts w:asciiTheme="minorHAnsi" w:hAnsiTheme="minorHAnsi"/>
                <w:sz w:val="20"/>
                <w:lang w:val="fr-BE"/>
              </w:rPr>
              <w:t>on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>)</w:t>
            </w:r>
            <w:r>
              <w:rPr>
                <w:rFonts w:asciiTheme="minorHAnsi" w:hAnsiTheme="minorHAnsi"/>
                <w:sz w:val="20"/>
                <w:lang w:val="fr-BE"/>
              </w:rPr>
              <w:t>, en concordance avec les guidelines cliniques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Pr="005000BB">
              <w:rPr>
                <w:rFonts w:asciiTheme="minorHAnsi" w:hAnsiTheme="minorHAnsi"/>
                <w:sz w:val="20"/>
                <w:lang w:val="fr-BE"/>
              </w:rPr>
              <w:t xml:space="preserve">Le patient 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est éligible</w:t>
            </w:r>
            <w:r w:rsidRPr="005000BB">
              <w:rPr>
                <w:rFonts w:asciiTheme="minorHAnsi" w:hAnsiTheme="minorHAnsi"/>
                <w:sz w:val="20"/>
                <w:lang w:val="fr-BE"/>
              </w:rPr>
              <w:t xml:space="preserve"> pour une thérapie d’induction et de consolidation standard conformément aux </w:t>
            </w:r>
            <w:r>
              <w:rPr>
                <w:rFonts w:asciiTheme="minorHAnsi" w:hAnsiTheme="minorHAnsi"/>
                <w:sz w:val="20"/>
                <w:lang w:val="fr-BE"/>
              </w:rPr>
              <w:t>guidelines cliniques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et le médecin traitant prévoit des avantages thérapeutiques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avec bénéfices/risques positif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à l’ajout du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à la thérapie standard d’induction avec la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cytarabine </w:t>
            </w:r>
            <w:r>
              <w:rPr>
                <w:rFonts w:asciiTheme="minorHAnsi" w:hAnsiTheme="minorHAnsi"/>
                <w:sz w:val="20"/>
                <w:lang w:val="fr-BE"/>
              </w:rPr>
              <w:t>et la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>daunorubicine</w:t>
            </w:r>
            <w:proofErr w:type="spellEnd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(o</w:t>
            </w:r>
            <w:r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>idarubicine</w:t>
            </w:r>
            <w:proofErr w:type="spellEnd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) </w:t>
            </w:r>
            <w:r>
              <w:rPr>
                <w:rFonts w:asciiTheme="minorHAnsi" w:hAnsiTheme="minorHAnsi"/>
                <w:sz w:val="20"/>
                <w:lang w:val="fr-BE"/>
              </w:rPr>
              <w:t>suivie de consolidation avec la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cytarabine. </w:t>
            </w:r>
            <w:r w:rsidRPr="005000BB">
              <w:rPr>
                <w:rFonts w:asciiTheme="minorHAnsi" w:hAnsiTheme="minorHAnsi"/>
                <w:sz w:val="20"/>
                <w:lang w:val="fr-BE"/>
              </w:rPr>
              <w:t xml:space="preserve">Chez les patients qui souffrent de 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SCT, </w:t>
            </w:r>
            <w:r>
              <w:rPr>
                <w:rFonts w:asciiTheme="minorHAnsi" w:hAnsiTheme="minorHAnsi"/>
                <w:sz w:val="20"/>
                <w:lang w:val="fr-BE"/>
              </w:rPr>
              <w:t>le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est arrêté avant le conditionnement pour une transplantation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 xml:space="preserve">Ces patients sont exclus du plan de traitement du protocole.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CE7CCE" w:rsidRDefault="00CE7CCE" w:rsidP="00CE7CC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>Les patients doivent être âgés de 18 ans ou plus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; 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>l</w:t>
            </w:r>
            <w:r>
              <w:rPr>
                <w:rFonts w:asciiTheme="minorHAnsi" w:hAnsiTheme="minorHAnsi"/>
                <w:sz w:val="20"/>
                <w:lang w:val="fr-BE"/>
              </w:rPr>
              <w:t>e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s patients plus âgés doivent être en état de recevoir une chimiothérapie intensive d’induction et de consolidation.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394BD7" w:rsidRDefault="00CE7CCE" w:rsidP="008E5774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5000BB">
              <w:rPr>
                <w:rFonts w:asciiTheme="minorHAnsi" w:hAnsiTheme="minorHAnsi"/>
                <w:sz w:val="20"/>
                <w:lang w:val="fr-BE"/>
              </w:rPr>
              <w:t xml:space="preserve">Les patients doivent </w:t>
            </w:r>
            <w:r w:rsidR="005000BB" w:rsidRPr="005000BB">
              <w:rPr>
                <w:rFonts w:asciiTheme="minorHAnsi" w:hAnsiTheme="minorHAnsi"/>
                <w:sz w:val="20"/>
                <w:lang w:val="fr-BE"/>
              </w:rPr>
              <w:t>avoir un diagnostic documenté, incontestable d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’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AML </w:t>
            </w:r>
            <w:r w:rsidR="005000BB" w:rsidRPr="005000BB">
              <w:rPr>
                <w:rFonts w:asciiTheme="minorHAnsi" w:hAnsiTheme="minorHAnsi"/>
                <w:sz w:val="20"/>
                <w:lang w:val="fr-BE"/>
              </w:rPr>
              <w:t>conformément à la classification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WHO2008 (&gt;20% blaste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>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5000BB">
              <w:rPr>
                <w:rFonts w:asciiTheme="minorHAnsi" w:hAnsiTheme="minorHAnsi"/>
                <w:sz w:val="20"/>
                <w:lang w:val="fr-BE"/>
              </w:rPr>
              <w:t>dans la moelle osseuse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5000BB">
              <w:rPr>
                <w:rFonts w:asciiTheme="minorHAnsi" w:hAnsiTheme="minorHAnsi"/>
                <w:sz w:val="20"/>
                <w:lang w:val="fr-BE"/>
              </w:rPr>
              <w:t>et/ou sang périphérique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), 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 xml:space="preserve">dont la 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M3 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>est exclue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 (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 xml:space="preserve">leucémie </w:t>
            </w:r>
            <w:proofErr w:type="spellStart"/>
            <w:r w:rsidR="00DB6125" w:rsidRPr="005000BB">
              <w:rPr>
                <w:rFonts w:asciiTheme="minorHAnsi" w:hAnsiTheme="minorHAnsi"/>
                <w:sz w:val="20"/>
                <w:lang w:val="fr-BE"/>
              </w:rPr>
              <w:t>promy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>locyt</w:t>
            </w:r>
            <w:r w:rsidR="00562063">
              <w:rPr>
                <w:rFonts w:asciiTheme="minorHAnsi" w:hAnsiTheme="minorHAnsi"/>
                <w:sz w:val="20"/>
                <w:lang w:val="fr-BE"/>
              </w:rPr>
              <w:t>aire</w:t>
            </w:r>
            <w:proofErr w:type="spellEnd"/>
            <w:r w:rsidR="00562063">
              <w:rPr>
                <w:rFonts w:asciiTheme="minorHAnsi" w:hAnsiTheme="minorHAnsi"/>
                <w:sz w:val="20"/>
                <w:lang w:val="fr-BE"/>
              </w:rPr>
              <w:t xml:space="preserve"> aiguë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). </w:t>
            </w:r>
            <w:r w:rsidR="00394BD7" w:rsidRPr="005000BB">
              <w:rPr>
                <w:rFonts w:asciiTheme="minorHAnsi" w:hAnsiTheme="minorHAnsi"/>
                <w:sz w:val="20"/>
                <w:lang w:val="fr-BE"/>
              </w:rPr>
              <w:t>Les patients avec AML secondaire</w:t>
            </w:r>
            <w:r w:rsidR="005000BB" w:rsidRPr="005000BB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sont éligibles</w:t>
            </w:r>
            <w:r w:rsidR="00DB6125" w:rsidRPr="005000BB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="00394BD7" w:rsidRPr="00394BD7">
              <w:rPr>
                <w:rFonts w:asciiTheme="minorHAnsi" w:hAnsiTheme="minorHAnsi"/>
                <w:sz w:val="20"/>
                <w:lang w:val="fr-BE"/>
              </w:rPr>
              <w:t xml:space="preserve">Il s’agit par exemple de patients avec </w:t>
            </w:r>
            <w:r w:rsidR="00DB6125" w:rsidRPr="00394BD7">
              <w:rPr>
                <w:rFonts w:asciiTheme="minorHAnsi" w:hAnsiTheme="minorHAnsi"/>
                <w:sz w:val="20"/>
                <w:lang w:val="fr-BE"/>
              </w:rPr>
              <w:t xml:space="preserve">AML </w:t>
            </w:r>
            <w:r w:rsidR="00394BD7" w:rsidRPr="00394BD7">
              <w:rPr>
                <w:rFonts w:asciiTheme="minorHAnsi" w:hAnsiTheme="minorHAnsi"/>
                <w:sz w:val="20"/>
                <w:lang w:val="fr-BE"/>
              </w:rPr>
              <w:t xml:space="preserve">qui ont </w:t>
            </w:r>
            <w:r w:rsidR="005000BB" w:rsidRPr="00394BD7">
              <w:rPr>
                <w:rFonts w:asciiTheme="minorHAnsi" w:hAnsiTheme="minorHAnsi"/>
                <w:sz w:val="20"/>
                <w:lang w:val="fr-BE"/>
              </w:rPr>
              <w:t>déjà</w:t>
            </w:r>
            <w:r w:rsidR="00394BD7" w:rsidRPr="00394BD7">
              <w:rPr>
                <w:rFonts w:asciiTheme="minorHAnsi" w:hAnsiTheme="minorHAnsi"/>
                <w:sz w:val="20"/>
                <w:lang w:val="fr-BE"/>
              </w:rPr>
              <w:t xml:space="preserve"> été traité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s</w:t>
            </w:r>
            <w:r w:rsidR="00394BD7" w:rsidRPr="00394BD7">
              <w:rPr>
                <w:rFonts w:asciiTheme="minorHAnsi" w:hAnsiTheme="minorHAnsi"/>
                <w:sz w:val="20"/>
                <w:lang w:val="fr-BE"/>
              </w:rPr>
              <w:t xml:space="preserve"> auparavant </w:t>
            </w:r>
            <w:r w:rsidR="00394BD7">
              <w:rPr>
                <w:rFonts w:asciiTheme="minorHAnsi" w:hAnsiTheme="minorHAnsi"/>
                <w:sz w:val="20"/>
                <w:lang w:val="fr-BE"/>
              </w:rPr>
              <w:t xml:space="preserve">pour une malignité antérieure.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CE7CCE" w:rsidRDefault="00CE7CCE" w:rsidP="00CE7CC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Les patients doivent avoir une mutation 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>FLT3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 documentée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 (ITD o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 TKD) 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à l’aide d’un test validé.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CE7CCE" w:rsidRDefault="00CE7CCE" w:rsidP="00CE7CC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>Les patients doivent avoir un statut de prestation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 ECOG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 de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 ≤ 2.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CE7CCE" w:rsidRDefault="00CE7CCE" w:rsidP="00CE7CC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Les patients qui nécessitent une thérapie </w:t>
            </w:r>
            <w:proofErr w:type="spellStart"/>
            <w:r w:rsidR="00DB6125" w:rsidRPr="00CE7CCE">
              <w:rPr>
                <w:rFonts w:asciiTheme="minorHAnsi" w:hAnsiTheme="minorHAnsi"/>
                <w:sz w:val="20"/>
                <w:lang w:val="fr-BE"/>
              </w:rPr>
              <w:t>intrath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>cale</w:t>
            </w:r>
            <w:proofErr w:type="spellEnd"/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>p</w:t>
            </w:r>
            <w:r>
              <w:rPr>
                <w:rFonts w:asciiTheme="minorHAnsi" w:hAnsiTheme="minorHAnsi"/>
                <w:sz w:val="20"/>
                <w:lang w:val="fr-BE"/>
              </w:rPr>
              <w:t>e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uvent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recevoir une première dose de </w:t>
            </w:r>
            <w:proofErr w:type="spellStart"/>
            <w:r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>au plus t</w:t>
            </w:r>
            <w:r>
              <w:rPr>
                <w:rFonts w:asciiTheme="minorHAnsi" w:hAnsiTheme="minorHAnsi"/>
                <w:sz w:val="20"/>
                <w:lang w:val="fr-BE"/>
              </w:rPr>
              <w:t>ôt 48 heures après la dernière dose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>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E76E31" w:rsidRDefault="00562063" w:rsidP="00F04FB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562063">
              <w:rPr>
                <w:rFonts w:asciiTheme="minorHAnsi" w:hAnsiTheme="minorHAnsi"/>
                <w:sz w:val="20"/>
                <w:lang w:val="fr-BE"/>
              </w:rPr>
              <w:t>Les patients A</w:t>
            </w:r>
            <w:r w:rsidR="00DB6125" w:rsidRPr="00562063">
              <w:rPr>
                <w:rFonts w:asciiTheme="minorHAnsi" w:hAnsiTheme="minorHAnsi"/>
                <w:sz w:val="20"/>
                <w:lang w:val="fr-BE"/>
              </w:rPr>
              <w:t>ML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 xml:space="preserve"> qui ont été trait</w:t>
            </w:r>
            <w:r w:rsidRPr="00562063">
              <w:rPr>
                <w:rFonts w:asciiTheme="minorHAnsi" w:hAnsiTheme="minorHAnsi"/>
                <w:sz w:val="20"/>
                <w:lang w:val="fr-BE"/>
              </w:rPr>
              <w:t xml:space="preserve">és auparavant pour une </w:t>
            </w:r>
            <w:proofErr w:type="spellStart"/>
            <w:r w:rsidRPr="00562063">
              <w:rPr>
                <w:rFonts w:asciiTheme="minorHAnsi" w:hAnsiTheme="minorHAnsi"/>
                <w:sz w:val="20"/>
                <w:lang w:val="fr-BE"/>
              </w:rPr>
              <w:t>myélodysplasie</w:t>
            </w:r>
            <w:proofErr w:type="spellEnd"/>
            <w:r w:rsidRPr="00562063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DB6125" w:rsidRPr="00562063">
              <w:rPr>
                <w:rFonts w:asciiTheme="minorHAnsi" w:hAnsiTheme="minorHAnsi"/>
                <w:sz w:val="20"/>
                <w:lang w:val="fr-BE"/>
              </w:rPr>
              <w:t xml:space="preserve">(MDS)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sont éligibles au traitement avec le </w:t>
            </w:r>
            <w:r w:rsidR="00DB6125" w:rsidRPr="00562063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562063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="00DB6125" w:rsidRPr="00562063">
              <w:rPr>
                <w:rFonts w:asciiTheme="minorHAnsi" w:hAnsiTheme="minorHAnsi"/>
                <w:sz w:val="20"/>
                <w:lang w:val="fr-BE"/>
              </w:rPr>
              <w:t xml:space="preserve"> CUP. </w:t>
            </w:r>
            <w:r w:rsidR="00DB6125" w:rsidRPr="00E76E31">
              <w:rPr>
                <w:rFonts w:asciiTheme="minorHAnsi" w:hAnsiTheme="minorHAnsi"/>
                <w:sz w:val="20"/>
                <w:lang w:val="fr-BE"/>
              </w:rPr>
              <w:t>(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>Par ex</w:t>
            </w:r>
            <w:r w:rsidR="00DB6125" w:rsidRPr="00E76E31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>l’</w:t>
            </w:r>
            <w:proofErr w:type="spellStart"/>
            <w:r w:rsidR="00DB6125" w:rsidRPr="00E76E31">
              <w:rPr>
                <w:rFonts w:asciiTheme="minorHAnsi" w:hAnsiTheme="minorHAnsi"/>
                <w:sz w:val="20"/>
                <w:lang w:val="fr-BE"/>
              </w:rPr>
              <w:t>azacitidine</w:t>
            </w:r>
            <w:proofErr w:type="spellEnd"/>
            <w:r w:rsidR="00DB6125" w:rsidRPr="00E76E31">
              <w:rPr>
                <w:rFonts w:asciiTheme="minorHAnsi" w:hAnsiTheme="minorHAnsi"/>
                <w:sz w:val="20"/>
                <w:lang w:val="fr-BE"/>
              </w:rPr>
              <w:t xml:space="preserve"> o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u 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 xml:space="preserve">la </w:t>
            </w:r>
            <w:proofErr w:type="spellStart"/>
            <w:r w:rsidR="00DB6125" w:rsidRPr="00E76E31">
              <w:rPr>
                <w:rFonts w:asciiTheme="minorHAnsi" w:hAnsiTheme="minorHAnsi"/>
                <w:sz w:val="20"/>
                <w:lang w:val="fr-BE"/>
              </w:rPr>
              <w:t>decitabine</w:t>
            </w:r>
            <w:proofErr w:type="spellEnd"/>
            <w:r w:rsidR="00DB6125" w:rsidRPr="00E76E31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>a dû être arrêté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>e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 pendant </w:t>
            </w:r>
            <w:r w:rsidR="00F04FBE">
              <w:rPr>
                <w:rFonts w:asciiTheme="minorHAnsi" w:hAnsiTheme="minorHAnsi"/>
                <w:sz w:val="20"/>
                <w:lang w:val="fr-BE"/>
              </w:rPr>
              <w:t xml:space="preserve">soit 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minimum 30 jours </w:t>
            </w:r>
            <w:r w:rsidR="00F04FBE">
              <w:rPr>
                <w:rFonts w:asciiTheme="minorHAnsi" w:hAnsiTheme="minorHAnsi"/>
                <w:sz w:val="20"/>
                <w:lang w:val="fr-BE"/>
              </w:rPr>
              <w:t>soit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E76E31" w:rsidRPr="00E76E31">
              <w:rPr>
                <w:rFonts w:asciiTheme="minorHAnsi" w:hAnsiTheme="minorHAnsi"/>
                <w:sz w:val="20"/>
                <w:lang w:val="fr-BE"/>
              </w:rPr>
              <w:t>5 fois la demi-vie du médicament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,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 xml:space="preserve"> le plus long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 xml:space="preserve"> de</w:t>
            </w:r>
            <w:r w:rsidR="00F04FBE">
              <w:rPr>
                <w:rFonts w:asciiTheme="minorHAnsi" w:hAnsiTheme="minorHAnsi"/>
                <w:sz w:val="20"/>
                <w:lang w:val="fr-BE"/>
              </w:rPr>
              <w:t xml:space="preserve"> ce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>s deux</w:t>
            </w:r>
            <w:r w:rsidR="00DB6125" w:rsidRPr="00E76E31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avant que 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 xml:space="preserve">le </w:t>
            </w:r>
            <w:proofErr w:type="spellStart"/>
            <w:r w:rsidRPr="00E76E31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Pr="00E76E31">
              <w:rPr>
                <w:rFonts w:asciiTheme="minorHAnsi" w:hAnsiTheme="minorHAnsi"/>
                <w:sz w:val="20"/>
                <w:lang w:val="fr-BE"/>
              </w:rPr>
              <w:t xml:space="preserve"> puisse être administré</w:t>
            </w:r>
            <w:r w:rsidR="00DB6125" w:rsidRPr="00E76E31">
              <w:rPr>
                <w:rFonts w:asciiTheme="minorHAnsi" w:hAnsiTheme="minorHAnsi"/>
                <w:sz w:val="20"/>
                <w:lang w:val="fr-BE"/>
              </w:rPr>
              <w:t>).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DB6125" w:rsidRPr="00CE7CCE" w:rsidRDefault="00CE7CCE" w:rsidP="00DB6125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bCs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Les patients doivent </w:t>
            </w:r>
            <w:r>
              <w:rPr>
                <w:rFonts w:asciiTheme="minorHAnsi" w:hAnsiTheme="minorHAnsi"/>
                <w:sz w:val="20"/>
                <w:lang w:val="fr-BE"/>
              </w:rPr>
              <w:t>avoir les valeurs de laboratoire suivantes :</w:t>
            </w:r>
          </w:p>
          <w:p w:rsidR="00DB6125" w:rsidRPr="00DB6125" w:rsidRDefault="00DB6125" w:rsidP="00DB6125">
            <w:pPr>
              <w:ind w:left="284" w:hanging="284"/>
              <w:jc w:val="both"/>
              <w:rPr>
                <w:bCs/>
                <w:lang w:val="fr-BE"/>
              </w:rPr>
            </w:pPr>
            <w:r w:rsidRPr="00DB6125">
              <w:rPr>
                <w:lang w:val="fr-BE"/>
              </w:rPr>
              <w:t xml:space="preserve">• </w:t>
            </w:r>
            <w:r w:rsidR="00CE7CCE">
              <w:rPr>
                <w:lang w:val="fr-BE"/>
              </w:rPr>
              <w:t>B</w:t>
            </w:r>
            <w:r w:rsidRPr="00DB6125">
              <w:rPr>
                <w:lang w:val="fr-BE"/>
              </w:rPr>
              <w:t xml:space="preserve">ilirubine </w:t>
            </w:r>
            <w:r w:rsidR="00CE7CCE">
              <w:rPr>
                <w:lang w:val="fr-BE"/>
              </w:rPr>
              <w:t>d</w:t>
            </w:r>
            <w:r w:rsidR="00CE7CCE" w:rsidRPr="00DB6125">
              <w:rPr>
                <w:lang w:val="fr-BE"/>
              </w:rPr>
              <w:t xml:space="preserve">irecte </w:t>
            </w:r>
            <w:r w:rsidRPr="00DB6125">
              <w:rPr>
                <w:lang w:val="fr-BE"/>
              </w:rPr>
              <w:t>≤ 2,5 x ULN</w:t>
            </w:r>
          </w:p>
          <w:p w:rsidR="00B279BE" w:rsidRPr="00DB6125" w:rsidRDefault="00DB6125" w:rsidP="00CE7CCE">
            <w:pPr>
              <w:ind w:left="284" w:hanging="284"/>
              <w:jc w:val="both"/>
              <w:rPr>
                <w:lang w:val="fr-BE"/>
              </w:rPr>
            </w:pPr>
            <w:r w:rsidRPr="00DB6125">
              <w:rPr>
                <w:lang w:val="fr-BE"/>
              </w:rPr>
              <w:t>•</w:t>
            </w:r>
            <w:r w:rsidR="00CE7CCE">
              <w:rPr>
                <w:lang w:val="fr-BE"/>
              </w:rPr>
              <w:t>C</w:t>
            </w:r>
            <w:r w:rsidRPr="00DB6125">
              <w:rPr>
                <w:lang w:val="fr-BE"/>
              </w:rPr>
              <w:t>r</w:t>
            </w:r>
            <w:r w:rsidR="00CE7CCE">
              <w:rPr>
                <w:lang w:val="fr-BE"/>
              </w:rPr>
              <w:t>é</w:t>
            </w:r>
            <w:r w:rsidRPr="00DB6125">
              <w:rPr>
                <w:lang w:val="fr-BE"/>
              </w:rPr>
              <w:t xml:space="preserve">atinine </w:t>
            </w:r>
            <w:r w:rsidR="00CE7CCE">
              <w:rPr>
                <w:lang w:val="fr-BE"/>
              </w:rPr>
              <w:t xml:space="preserve">sérique </w:t>
            </w:r>
            <w:r w:rsidRPr="00DB6125">
              <w:rPr>
                <w:lang w:val="fr-BE"/>
              </w:rPr>
              <w:t>≤ 2,5 x ULN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CE7CCE" w:rsidRDefault="00CE7CCE" w:rsidP="00E76E31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Le patient 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>n’est pas éligible à</w:t>
            </w:r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 une étude clinique en cours avec 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 xml:space="preserve">le </w:t>
            </w:r>
            <w:proofErr w:type="spellStart"/>
            <w:r w:rsidRPr="00CE7CCE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Pr="00CE7CCE">
              <w:rPr>
                <w:rFonts w:asciiTheme="minorHAnsi" w:hAnsiTheme="minorHAnsi"/>
                <w:sz w:val="20"/>
                <w:lang w:val="fr-BE"/>
              </w:rPr>
              <w:t xml:space="preserve"> dans la m</w:t>
            </w:r>
            <w:r w:rsidR="00E76E31">
              <w:rPr>
                <w:rFonts w:asciiTheme="minorHAnsi" w:hAnsiTheme="minorHAnsi"/>
                <w:sz w:val="20"/>
                <w:lang w:val="fr-BE"/>
              </w:rPr>
              <w:t>ême indication que celle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 du</w:t>
            </w:r>
            <w:r w:rsidR="00DB6125" w:rsidRPr="00CE7CCE">
              <w:rPr>
                <w:rFonts w:asciiTheme="minorHAnsi" w:hAnsiTheme="minorHAnsi"/>
                <w:sz w:val="20"/>
                <w:lang w:val="fr-BE"/>
              </w:rPr>
              <w:t xml:space="preserve"> CUP.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8E5774" w:rsidRDefault="00C908FD" w:rsidP="00CE7CCE">
            <w:pPr>
              <w:pStyle w:val="Paragraphedeliste"/>
              <w:numPr>
                <w:ilvl w:val="0"/>
                <w:numId w:val="14"/>
              </w:numPr>
              <w:ind w:left="284" w:hanging="284"/>
              <w:jc w:val="both"/>
              <w:rPr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>R</w:t>
            </w:r>
            <w:r w:rsidR="00CE7CCE" w:rsidRPr="008E5774">
              <w:rPr>
                <w:rFonts w:asciiTheme="minorHAnsi" w:hAnsiTheme="minorHAnsi"/>
                <w:sz w:val="20"/>
                <w:lang w:val="fr-BE"/>
              </w:rPr>
              <w:t xml:space="preserve">ègles de participation telles qu’établies par l’AFMPS. </w:t>
            </w:r>
          </w:p>
        </w:tc>
      </w:tr>
      <w:tr w:rsidR="00B279BE" w:rsidRPr="004B4F83" w:rsidTr="00DB6125">
        <w:trPr>
          <w:cantSplit/>
          <w:trHeight w:val="110"/>
        </w:trPr>
        <w:tc>
          <w:tcPr>
            <w:tcW w:w="9889" w:type="dxa"/>
            <w:shd w:val="clear" w:color="auto" w:fill="F2DBDB" w:themeFill="accent2" w:themeFillTint="33"/>
          </w:tcPr>
          <w:p w:rsidR="00B279BE" w:rsidRPr="00E76E31" w:rsidRDefault="00E76E31" w:rsidP="00B279BE">
            <w:pPr>
              <w:pStyle w:val="Sansinterligne"/>
              <w:rPr>
                <w:lang w:val="fr-BE"/>
              </w:rPr>
            </w:pPr>
            <w:r w:rsidRPr="00E76E31">
              <w:rPr>
                <w:lang w:val="fr-BE"/>
              </w:rPr>
              <w:lastRenderedPageBreak/>
              <w:t>Critères d’exclusion</w:t>
            </w:r>
          </w:p>
          <w:p w:rsidR="00DB6125" w:rsidRPr="00E76E31" w:rsidRDefault="00E76E31" w:rsidP="00E76E31">
            <w:pPr>
              <w:pStyle w:val="Sansinterligne"/>
              <w:rPr>
                <w:lang w:val="fr-BE"/>
              </w:rPr>
            </w:pPr>
            <w:r w:rsidRPr="00E76E31">
              <w:rPr>
                <w:lang w:val="fr-BE"/>
              </w:rPr>
              <w:t xml:space="preserve">Les patients éligibles à ce plan de traitement ne peuvent remplir aucun des critères suivants: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721309" w:rsidRDefault="00721309" w:rsidP="00721309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721309">
              <w:rPr>
                <w:rFonts w:asciiTheme="minorHAnsi" w:hAnsiTheme="minorHAnsi"/>
                <w:sz w:val="20"/>
                <w:lang w:val="fr-BE"/>
              </w:rPr>
              <w:t xml:space="preserve">Hypersensibilité antérieure à des médicaments 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>(</w:t>
            </w:r>
            <w:proofErr w:type="spellStart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, cytarabine, </w:t>
            </w:r>
            <w:proofErr w:type="spellStart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daunorubicine</w:t>
            </w:r>
            <w:proofErr w:type="spellEnd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o</w:t>
            </w:r>
            <w:r w:rsidRPr="00721309"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idarubicine</w:t>
            </w:r>
            <w:proofErr w:type="spellEnd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) o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u des 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>m</w:t>
            </w:r>
            <w:r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>tabolite</w:t>
            </w:r>
            <w:r>
              <w:rPr>
                <w:rFonts w:asciiTheme="minorHAnsi" w:hAnsiTheme="minorHAnsi"/>
                <w:sz w:val="20"/>
                <w:lang w:val="fr-BE"/>
              </w:rPr>
              <w:t>s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ayant une classification chimique similaire à celle du</w:t>
            </w:r>
            <w:r w:rsidRPr="00721309">
              <w:rPr>
                <w:lang w:val="fr-BE"/>
              </w:rPr>
              <w:t xml:space="preserve"> </w:t>
            </w:r>
            <w:r w:rsidRPr="00721309">
              <w:rPr>
                <w:rFonts w:asciiTheme="minorHAnsi" w:hAnsiTheme="minorHAnsi"/>
                <w:sz w:val="20"/>
                <w:lang w:val="fr-BE"/>
              </w:rPr>
              <w:t>médicament expérimental soumis à l'essai</w:t>
            </w:r>
            <w:r>
              <w:rPr>
                <w:rFonts w:asciiTheme="minorHAnsi" w:hAnsiTheme="minorHAnsi"/>
                <w:sz w:val="20"/>
                <w:lang w:val="fr-BE"/>
              </w:rPr>
              <w:t>,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o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u une autre contre-indication connue pour un traitement avec de la 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cytarabine,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de la </w:t>
            </w:r>
            <w:proofErr w:type="spellStart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daunorubicine</w:t>
            </w:r>
            <w:proofErr w:type="spellEnd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(o</w:t>
            </w:r>
            <w:r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proofErr w:type="spellStart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>idarubicine</w:t>
            </w:r>
            <w:proofErr w:type="spellEnd"/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)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conformément au SPC pertinent. </w:t>
            </w:r>
            <w:r w:rsidR="00DB6125" w:rsidRPr="00721309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DB6125" w:rsidRPr="006D47CD" w:rsidRDefault="007C6C1D" w:rsidP="00394DBD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bCs/>
                <w:sz w:val="20"/>
                <w:lang w:val="fr-BE"/>
              </w:rPr>
            </w:pPr>
            <w:r w:rsidRPr="006D47CD">
              <w:rPr>
                <w:rFonts w:asciiTheme="minorHAnsi" w:hAnsiTheme="minorHAnsi"/>
                <w:sz w:val="20"/>
                <w:lang w:val="fr-BE"/>
              </w:rPr>
              <w:t>Traitement antérieur pour AML</w:t>
            </w:r>
            <w:r w:rsidR="006D47CD" w:rsidRPr="006D47CD">
              <w:rPr>
                <w:rFonts w:asciiTheme="minorHAnsi" w:hAnsiTheme="minorHAnsi"/>
                <w:sz w:val="20"/>
                <w:lang w:val="fr-BE"/>
              </w:rPr>
              <w:t xml:space="preserve"> à l’exception de</w:t>
            </w:r>
            <w:r w:rsidR="00DB6125" w:rsidRPr="006D47CD">
              <w:rPr>
                <w:rFonts w:asciiTheme="minorHAnsi" w:hAnsiTheme="minorHAnsi"/>
                <w:sz w:val="20"/>
                <w:lang w:val="fr-BE"/>
              </w:rPr>
              <w:t>:</w:t>
            </w:r>
          </w:p>
          <w:p w:rsidR="00DB6125" w:rsidRPr="006D47CD" w:rsidRDefault="00DB6125" w:rsidP="00394DBD">
            <w:pPr>
              <w:spacing w:line="240" w:lineRule="auto"/>
              <w:ind w:left="284"/>
              <w:jc w:val="both"/>
              <w:rPr>
                <w:bCs/>
                <w:lang w:val="fr-BE"/>
              </w:rPr>
            </w:pPr>
            <w:r w:rsidRPr="006D47CD">
              <w:rPr>
                <w:lang w:val="fr-BE"/>
              </w:rPr>
              <w:t>•</w:t>
            </w:r>
            <w:r w:rsidR="006D47CD" w:rsidRPr="006D47CD">
              <w:rPr>
                <w:lang w:val="fr-BE"/>
              </w:rPr>
              <w:t>cytaphérè</w:t>
            </w:r>
            <w:r w:rsidRPr="006D47CD">
              <w:rPr>
                <w:lang w:val="fr-BE"/>
              </w:rPr>
              <w:t xml:space="preserve">se </w:t>
            </w:r>
            <w:r w:rsidR="006D47CD" w:rsidRPr="006D47CD">
              <w:rPr>
                <w:lang w:val="fr-BE"/>
              </w:rPr>
              <w:t>en urgence</w:t>
            </w:r>
          </w:p>
          <w:p w:rsidR="00DB6125" w:rsidRPr="00B27C05" w:rsidRDefault="00DB6125" w:rsidP="00394DBD">
            <w:pPr>
              <w:spacing w:line="240" w:lineRule="auto"/>
              <w:ind w:left="284"/>
              <w:jc w:val="both"/>
              <w:rPr>
                <w:bCs/>
                <w:lang w:val="fr-BE"/>
              </w:rPr>
            </w:pPr>
            <w:r w:rsidRPr="00B27C05">
              <w:rPr>
                <w:lang w:val="fr-BE"/>
              </w:rPr>
              <w:t>•</w:t>
            </w:r>
            <w:r w:rsidR="006D47CD" w:rsidRPr="00B27C05">
              <w:rPr>
                <w:lang w:val="fr-BE"/>
              </w:rPr>
              <w:t>traitement d’urgence pour</w:t>
            </w:r>
            <w:r w:rsidRPr="00B27C05">
              <w:rPr>
                <w:lang w:val="fr-BE"/>
              </w:rPr>
              <w:t xml:space="preserve"> hyperleu</w:t>
            </w:r>
            <w:r w:rsidR="006D47CD" w:rsidRPr="00B27C05">
              <w:rPr>
                <w:lang w:val="fr-BE"/>
              </w:rPr>
              <w:t>c</w:t>
            </w:r>
            <w:r w:rsidRPr="00B27C05">
              <w:rPr>
                <w:lang w:val="fr-BE"/>
              </w:rPr>
              <w:t xml:space="preserve">ocytose </w:t>
            </w:r>
            <w:r w:rsidR="006D47CD" w:rsidRPr="00B27C05">
              <w:rPr>
                <w:lang w:val="fr-BE"/>
              </w:rPr>
              <w:t>avec</w:t>
            </w:r>
            <w:r w:rsidRPr="00B27C05">
              <w:rPr>
                <w:lang w:val="fr-BE"/>
              </w:rPr>
              <w:t xml:space="preserve"> </w:t>
            </w:r>
            <w:proofErr w:type="spellStart"/>
            <w:r w:rsidRPr="00B27C05">
              <w:rPr>
                <w:lang w:val="fr-BE"/>
              </w:rPr>
              <w:t>hydroxyur</w:t>
            </w:r>
            <w:r w:rsidR="006D47CD" w:rsidRPr="00B27C05">
              <w:rPr>
                <w:lang w:val="fr-BE"/>
              </w:rPr>
              <w:t>ée</w:t>
            </w:r>
            <w:proofErr w:type="spellEnd"/>
            <w:r w:rsidRPr="00B27C05">
              <w:rPr>
                <w:lang w:val="fr-BE"/>
              </w:rPr>
              <w:t xml:space="preserve"> </w:t>
            </w:r>
            <w:r w:rsidR="006D47CD" w:rsidRPr="00B27C05">
              <w:rPr>
                <w:lang w:val="fr-BE"/>
              </w:rPr>
              <w:t>pendant</w:t>
            </w:r>
            <w:r w:rsidRPr="00B27C05">
              <w:rPr>
                <w:lang w:val="fr-BE"/>
              </w:rPr>
              <w:t xml:space="preserve"> ≤ 5 </w:t>
            </w:r>
            <w:r w:rsidR="006D47CD" w:rsidRPr="00B27C05">
              <w:rPr>
                <w:lang w:val="fr-BE"/>
              </w:rPr>
              <w:t>jours</w:t>
            </w:r>
          </w:p>
          <w:p w:rsidR="00DB6125" w:rsidRPr="006D47CD" w:rsidRDefault="00DB6125" w:rsidP="00394DBD">
            <w:pPr>
              <w:spacing w:line="240" w:lineRule="auto"/>
              <w:ind w:left="284"/>
              <w:jc w:val="both"/>
              <w:rPr>
                <w:bCs/>
                <w:lang w:val="fr-BE"/>
              </w:rPr>
            </w:pPr>
            <w:r w:rsidRPr="00B27C05">
              <w:rPr>
                <w:lang w:val="fr-BE"/>
              </w:rPr>
              <w:t xml:space="preserve">•RT </w:t>
            </w:r>
            <w:r w:rsidR="006D47CD" w:rsidRPr="00B27C05">
              <w:rPr>
                <w:lang w:val="fr-BE"/>
              </w:rPr>
              <w:t>crânien pour</w:t>
            </w:r>
            <w:r w:rsidRPr="00B27C05">
              <w:rPr>
                <w:lang w:val="fr-BE"/>
              </w:rPr>
              <w:t xml:space="preserve"> </w:t>
            </w:r>
            <w:proofErr w:type="spellStart"/>
            <w:r w:rsidR="006D47CD" w:rsidRPr="00B27C05">
              <w:rPr>
                <w:lang w:val="fr-BE"/>
              </w:rPr>
              <w:t>leucostase</w:t>
            </w:r>
            <w:proofErr w:type="spellEnd"/>
            <w:r w:rsidR="00721309">
              <w:rPr>
                <w:lang w:val="fr-BE"/>
              </w:rPr>
              <w:t xml:space="preserve"> du SNC</w:t>
            </w:r>
            <w:r w:rsidRPr="006D47CD">
              <w:rPr>
                <w:lang w:val="fr-BE"/>
              </w:rPr>
              <w:t xml:space="preserve"> (</w:t>
            </w:r>
            <w:r w:rsidR="006D47CD" w:rsidRPr="006D47CD">
              <w:rPr>
                <w:lang w:val="fr-BE"/>
              </w:rPr>
              <w:t>seulement une dose</w:t>
            </w:r>
            <w:r w:rsidRPr="006D47CD">
              <w:rPr>
                <w:lang w:val="fr-BE"/>
              </w:rPr>
              <w:t>)</w:t>
            </w:r>
          </w:p>
          <w:p w:rsidR="00B279BE" w:rsidRPr="006D47CD" w:rsidRDefault="00DB6125" w:rsidP="00394DBD">
            <w:pPr>
              <w:spacing w:line="240" w:lineRule="auto"/>
              <w:ind w:left="284"/>
              <w:jc w:val="both"/>
              <w:rPr>
                <w:lang w:val="fr-BE"/>
              </w:rPr>
            </w:pPr>
            <w:r w:rsidRPr="006D47CD">
              <w:rPr>
                <w:lang w:val="fr-BE"/>
              </w:rPr>
              <w:t xml:space="preserve">• </w:t>
            </w:r>
            <w:r w:rsidR="006D47CD" w:rsidRPr="006D47CD">
              <w:rPr>
                <w:lang w:val="fr-BE"/>
              </w:rPr>
              <w:t>soutien par facteur de croissance/</w:t>
            </w:r>
            <w:r w:rsidRPr="006D47CD">
              <w:rPr>
                <w:lang w:val="fr-BE"/>
              </w:rPr>
              <w:t xml:space="preserve">cytokine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6D47CD" w:rsidRDefault="00DB6125" w:rsidP="005D6F99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6D47CD">
              <w:rPr>
                <w:rFonts w:asciiTheme="minorHAnsi" w:hAnsiTheme="minorHAnsi"/>
                <w:sz w:val="20"/>
                <w:lang w:val="fr-BE"/>
              </w:rPr>
              <w:t>Pati</w:t>
            </w:r>
            <w:r w:rsidR="006D47CD" w:rsidRPr="006D47CD">
              <w:rPr>
                <w:rFonts w:asciiTheme="minorHAnsi" w:hAnsiTheme="minorHAnsi"/>
                <w:sz w:val="20"/>
                <w:lang w:val="fr-BE"/>
              </w:rPr>
              <w:t>ents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6D47CD" w:rsidRPr="006D47CD">
              <w:rPr>
                <w:rFonts w:asciiTheme="minorHAnsi" w:hAnsiTheme="minorHAnsi"/>
                <w:sz w:val="20"/>
                <w:lang w:val="fr-BE"/>
              </w:rPr>
              <w:t xml:space="preserve">avec une </w:t>
            </w:r>
            <w:r w:rsidR="006D47CD" w:rsidRPr="00721309">
              <w:rPr>
                <w:rFonts w:asciiTheme="minorHAnsi" w:hAnsiTheme="minorHAnsi"/>
                <w:sz w:val="20"/>
                <w:lang w:val="fr-BE"/>
              </w:rPr>
              <w:t>FEVG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6D47CD" w:rsidRPr="006D47CD">
              <w:rPr>
                <w:rFonts w:asciiTheme="minorHAnsi" w:hAnsiTheme="minorHAnsi"/>
                <w:sz w:val="20"/>
                <w:lang w:val="fr-BE"/>
              </w:rPr>
              <w:t>inférieure à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45% (</w:t>
            </w:r>
            <w:r w:rsidR="006D47CD" w:rsidRPr="006D47CD">
              <w:rPr>
                <w:rFonts w:asciiTheme="minorHAnsi" w:hAnsiTheme="minorHAnsi"/>
                <w:sz w:val="20"/>
                <w:lang w:val="fr-BE"/>
              </w:rPr>
              <w:t xml:space="preserve">selon </w:t>
            </w:r>
            <w:r w:rsidR="006D47CD">
              <w:rPr>
                <w:rFonts w:asciiTheme="minorHAnsi" w:hAnsiTheme="minorHAnsi"/>
                <w:sz w:val="20"/>
                <w:lang w:val="fr-BE"/>
              </w:rPr>
              <w:t>échocardiogramme ou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MUGA) o</w:t>
            </w:r>
            <w:r w:rsidR="006D47CD">
              <w:rPr>
                <w:rFonts w:asciiTheme="minorHAnsi" w:hAnsiTheme="minorHAnsi"/>
                <w:sz w:val="20"/>
                <w:lang w:val="fr-BE"/>
              </w:rPr>
              <w:t>u insuffisance cardiaque congestive symptomatique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="000775BE">
              <w:rPr>
                <w:rFonts w:asciiTheme="minorHAnsi" w:hAnsiTheme="minorHAnsi"/>
                <w:sz w:val="20"/>
                <w:lang w:val="fr-BE"/>
              </w:rPr>
              <w:t>c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>lasse III o</w:t>
            </w:r>
            <w:r w:rsidR="000775BE">
              <w:rPr>
                <w:rFonts w:asciiTheme="minorHAnsi" w:hAnsiTheme="minorHAnsi"/>
                <w:sz w:val="20"/>
                <w:lang w:val="fr-BE"/>
              </w:rPr>
              <w:t>u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IV </w:t>
            </w:r>
            <w:r w:rsidR="000775BE">
              <w:rPr>
                <w:rFonts w:asciiTheme="minorHAnsi" w:hAnsiTheme="minorHAnsi"/>
                <w:sz w:val="20"/>
                <w:lang w:val="fr-BE"/>
              </w:rPr>
              <w:t>conformément à la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classificati</w:t>
            </w:r>
            <w:r w:rsidR="000775BE">
              <w:rPr>
                <w:rFonts w:asciiTheme="minorHAnsi" w:hAnsiTheme="minorHAnsi"/>
                <w:sz w:val="20"/>
                <w:lang w:val="fr-BE"/>
              </w:rPr>
              <w:t>on de la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New York </w:t>
            </w:r>
            <w:proofErr w:type="spellStart"/>
            <w:r w:rsidRPr="006D47CD">
              <w:rPr>
                <w:rFonts w:asciiTheme="minorHAnsi" w:hAnsiTheme="minorHAnsi"/>
                <w:sz w:val="20"/>
                <w:lang w:val="fr-BE"/>
              </w:rPr>
              <w:t>Heart</w:t>
            </w:r>
            <w:proofErr w:type="spellEnd"/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Association (NYHA); pati</w:t>
            </w:r>
            <w:r w:rsidR="000775BE">
              <w:rPr>
                <w:rFonts w:asciiTheme="minorHAnsi" w:hAnsiTheme="minorHAnsi"/>
                <w:sz w:val="20"/>
                <w:lang w:val="fr-BE"/>
              </w:rPr>
              <w:t xml:space="preserve">ents </w:t>
            </w:r>
            <w:r w:rsidR="005D6F99">
              <w:rPr>
                <w:rFonts w:asciiTheme="minorHAnsi" w:hAnsiTheme="minorHAnsi"/>
                <w:sz w:val="20"/>
                <w:lang w:val="fr-BE"/>
              </w:rPr>
              <w:t xml:space="preserve">avec infection myocardique ou angor instable dans les 6 derniers mois. </w:t>
            </w:r>
            <w:r w:rsidRPr="006D47C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5D6F99" w:rsidRDefault="005D6F99" w:rsidP="00473A7C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5D6F99">
              <w:rPr>
                <w:rFonts w:asciiTheme="minorHAnsi" w:hAnsiTheme="minorHAnsi"/>
                <w:sz w:val="20"/>
                <w:lang w:val="fr-BE"/>
              </w:rPr>
              <w:t>Patients souffrant d’une affection qui n’est pas sous contrôle</w:t>
            </w:r>
            <w:r w:rsidR="00DB6125" w:rsidRPr="005D6F99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>y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 xml:space="preserve">compris 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 xml:space="preserve">- 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 xml:space="preserve">mais non limitée à 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 xml:space="preserve">- 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>une pancréatite aigu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>ë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 xml:space="preserve"> ou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>chronique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>,</w:t>
            </w:r>
            <w:r w:rsidRPr="005D6F99">
              <w:rPr>
                <w:rFonts w:asciiTheme="minorHAnsi" w:hAnsiTheme="minorHAnsi"/>
                <w:sz w:val="20"/>
                <w:lang w:val="fr-BE"/>
              </w:rPr>
              <w:t xml:space="preserve"> ou une infection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 xml:space="preserve"> qui n’est pas sous contrôle </w:t>
            </w:r>
            <w:r w:rsidR="00DB6125" w:rsidRPr="005D6F99">
              <w:rPr>
                <w:rFonts w:asciiTheme="minorHAnsi" w:hAnsiTheme="minorHAnsi"/>
                <w:sz w:val="20"/>
                <w:lang w:val="fr-BE"/>
              </w:rPr>
              <w:t>(</w:t>
            </w:r>
            <w:r w:rsidR="00473A7C">
              <w:rPr>
                <w:rFonts w:asciiTheme="minorHAnsi" w:hAnsiTheme="minorHAnsi"/>
                <w:sz w:val="20"/>
                <w:lang w:val="fr-BE"/>
              </w:rPr>
              <w:t>par ex. hépatite virale active ou infection</w:t>
            </w:r>
            <w:r w:rsidR="00DB6125" w:rsidRPr="005D6F99">
              <w:rPr>
                <w:rFonts w:asciiTheme="minorHAnsi" w:hAnsiTheme="minorHAnsi"/>
                <w:sz w:val="20"/>
                <w:lang w:val="fr-BE"/>
              </w:rPr>
              <w:t xml:space="preserve"> HIV).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473A7C" w:rsidRDefault="00DB6125" w:rsidP="00473A7C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en-US"/>
              </w:rPr>
            </w:pPr>
            <w:proofErr w:type="spellStart"/>
            <w:r w:rsidRPr="00473A7C">
              <w:rPr>
                <w:rFonts w:asciiTheme="minorHAnsi" w:hAnsiTheme="minorHAnsi"/>
                <w:sz w:val="20"/>
                <w:lang w:val="en-US"/>
              </w:rPr>
              <w:t>QTc</w:t>
            </w:r>
            <w:proofErr w:type="spellEnd"/>
            <w:r w:rsidRPr="00473A7C">
              <w:rPr>
                <w:rFonts w:asciiTheme="minorHAnsi" w:hAnsiTheme="minorHAnsi"/>
                <w:sz w:val="20"/>
                <w:lang w:val="en-US"/>
              </w:rPr>
              <w:t xml:space="preserve"> &gt;500 </w:t>
            </w:r>
            <w:proofErr w:type="spellStart"/>
            <w:r w:rsidRPr="00473A7C">
              <w:rPr>
                <w:rFonts w:asciiTheme="minorHAnsi" w:hAnsiTheme="minorHAnsi"/>
                <w:sz w:val="20"/>
                <w:lang w:val="en-US"/>
              </w:rPr>
              <w:t>msec</w:t>
            </w:r>
            <w:proofErr w:type="spellEnd"/>
            <w:r w:rsidRPr="00473A7C">
              <w:rPr>
                <w:rFonts w:asciiTheme="minorHAnsi" w:hAnsiTheme="minorHAnsi"/>
                <w:sz w:val="20"/>
                <w:lang w:val="en-US"/>
              </w:rPr>
              <w:t xml:space="preserve"> </w:t>
            </w:r>
            <w:r w:rsidR="00473A7C" w:rsidRPr="00473A7C">
              <w:rPr>
                <w:rFonts w:asciiTheme="minorHAnsi" w:hAnsiTheme="minorHAnsi"/>
                <w:sz w:val="20"/>
                <w:lang w:val="en-US"/>
              </w:rPr>
              <w:t>par</w:t>
            </w:r>
            <w:r w:rsidRPr="00473A7C">
              <w:rPr>
                <w:rFonts w:asciiTheme="minorHAnsi" w:hAnsiTheme="minorHAnsi"/>
                <w:sz w:val="20"/>
                <w:lang w:val="en-US"/>
              </w:rPr>
              <w:t xml:space="preserve"> screening-ECG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4146C6" w:rsidRPr="004146C6" w:rsidRDefault="00721309" w:rsidP="007C6C1D">
            <w:pPr>
              <w:pStyle w:val="Paragraphedeliste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/>
                <w:bCs/>
                <w:sz w:val="20"/>
                <w:lang w:val="fr-BE"/>
              </w:rPr>
            </w:pPr>
            <w:r>
              <w:rPr>
                <w:rFonts w:asciiTheme="minorHAnsi" w:hAnsiTheme="minorHAnsi"/>
                <w:sz w:val="20"/>
                <w:lang w:val="fr-BE"/>
              </w:rPr>
              <w:t>Les f</w:t>
            </w:r>
            <w:r w:rsidR="00473A7C" w:rsidRPr="004146C6">
              <w:rPr>
                <w:rFonts w:asciiTheme="minorHAnsi" w:hAnsiTheme="minorHAnsi"/>
                <w:sz w:val="20"/>
                <w:lang w:val="fr-BE"/>
              </w:rPr>
              <w:t>emmes qui peuvent être enceintes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="00473A7C" w:rsidRPr="004146C6">
              <w:rPr>
                <w:rFonts w:asciiTheme="minorHAnsi" w:hAnsiTheme="minorHAnsi"/>
                <w:sz w:val="20"/>
                <w:lang w:val="fr-BE"/>
              </w:rPr>
              <w:t>définies comme étant l’ensemble des femmes qui sont physiologiquement en état d’être enceintes, y compris</w:t>
            </w:r>
            <w:r w:rsidR="004146C6" w:rsidRPr="004146C6">
              <w:rPr>
                <w:rFonts w:asciiTheme="minorHAnsi" w:hAnsiTheme="minorHAnsi"/>
                <w:sz w:val="20"/>
                <w:lang w:val="fr-BE"/>
              </w:rPr>
              <w:t xml:space="preserve"> les femmes chez qui les rapports avec un partenaire masculin sont exclus du fait de leur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carrière, 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>mode de vie ou orientation sexuelle</w:t>
            </w:r>
            <w:r>
              <w:rPr>
                <w:rFonts w:asciiTheme="minorHAnsi" w:hAnsiTheme="minorHAnsi"/>
                <w:sz w:val="20"/>
                <w:lang w:val="fr-BE"/>
              </w:rPr>
              <w:t>,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o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 xml:space="preserve">des femmes dont les partenaires ont été stérilisés au moyen d’une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vasectomie 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>ou d’autres moyens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 w:rsidR="004146C6">
              <w:rPr>
                <w:rFonts w:asciiTheme="minorHAnsi" w:hAnsiTheme="minorHAnsi"/>
                <w:sz w:val="20"/>
                <w:lang w:val="fr-BE"/>
              </w:rPr>
              <w:t>SAUF SI une combinaison de deux méthodes contraceptives est utilisée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</w:p>
          <w:p w:rsidR="00DB6125" w:rsidRPr="004146C6" w:rsidRDefault="004146C6" w:rsidP="004146C6">
            <w:pPr>
              <w:pStyle w:val="Paragraphedeliste"/>
              <w:autoSpaceDE w:val="0"/>
              <w:autoSpaceDN w:val="0"/>
              <w:adjustRightInd w:val="0"/>
              <w:ind w:left="284"/>
              <w:jc w:val="both"/>
              <w:rPr>
                <w:rFonts w:asciiTheme="minorHAnsi" w:hAnsiTheme="minorHAnsi"/>
                <w:bCs/>
                <w:sz w:val="20"/>
                <w:lang w:val="fr-BE"/>
              </w:rPr>
            </w:pPr>
            <w:r w:rsidRPr="004146C6">
              <w:rPr>
                <w:rFonts w:asciiTheme="minorHAnsi" w:hAnsiTheme="minorHAnsi"/>
                <w:sz w:val="20"/>
                <w:lang w:val="fr-BE"/>
              </w:rPr>
              <w:t>Les femmes qui peuvent être enceintes doivent s’abstenir de rapports hétérosexuels ou doivent utiliser DEUX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méthodes contraceptives acceptées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; </w:t>
            </w:r>
            <w:r>
              <w:rPr>
                <w:rFonts w:asciiTheme="minorHAnsi" w:hAnsiTheme="minorHAnsi"/>
                <w:sz w:val="20"/>
                <w:lang w:val="fr-BE"/>
              </w:rPr>
              <w:t>une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m</w:t>
            </w:r>
            <w:r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thode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très efficace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(</w:t>
            </w:r>
            <w:r>
              <w:rPr>
                <w:rFonts w:asciiTheme="minorHAnsi" w:hAnsiTheme="minorHAnsi"/>
                <w:sz w:val="20"/>
                <w:lang w:val="fr-BE"/>
              </w:rPr>
              <w:t>par ex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>
              <w:rPr>
                <w:rFonts w:asciiTheme="minorHAnsi" w:hAnsiTheme="minorHAnsi"/>
                <w:sz w:val="20"/>
                <w:lang w:val="fr-BE"/>
              </w:rPr>
              <w:t>stérilet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, th</w:t>
            </w:r>
            <w:r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rapie</w:t>
            </w:r>
            <w:r w:rsidRPr="004146C6">
              <w:rPr>
                <w:rFonts w:asciiTheme="minorHAnsi" w:hAnsiTheme="minorHAnsi"/>
                <w:sz w:val="20"/>
                <w:lang w:val="fr-BE"/>
              </w:rPr>
              <w:t xml:space="preserve"> hormonale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, </w:t>
            </w:r>
            <w:r>
              <w:rPr>
                <w:rFonts w:asciiTheme="minorHAnsi" w:hAnsiTheme="minorHAnsi"/>
                <w:sz w:val="20"/>
                <w:lang w:val="fr-BE"/>
              </w:rPr>
              <w:t>ligature des trompes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o</w:t>
            </w:r>
            <w:r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vasectomie </w:t>
            </w:r>
            <w:r>
              <w:rPr>
                <w:rFonts w:asciiTheme="minorHAnsi" w:hAnsiTheme="minorHAnsi"/>
                <w:sz w:val="20"/>
                <w:lang w:val="fr-BE"/>
              </w:rPr>
              <w:t>du partenaire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) e</w:t>
            </w:r>
            <w:r>
              <w:rPr>
                <w:rFonts w:asciiTheme="minorHAnsi" w:hAnsiTheme="minorHAnsi"/>
                <w:sz w:val="20"/>
                <w:lang w:val="fr-BE"/>
              </w:rPr>
              <w:t>t une méthode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complémentaire efficace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(</w:t>
            </w:r>
            <w:r>
              <w:rPr>
                <w:rFonts w:asciiTheme="minorHAnsi" w:hAnsiTheme="minorHAnsi"/>
                <w:sz w:val="20"/>
                <w:lang w:val="fr-BE"/>
              </w:rPr>
              <w:t>par ex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préservatif en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latex, </w:t>
            </w:r>
            <w:r w:rsidRPr="004146C6">
              <w:rPr>
                <w:rFonts w:asciiTheme="minorHAnsi" w:hAnsiTheme="minorHAnsi"/>
                <w:sz w:val="20"/>
                <w:lang w:val="fr-BE"/>
              </w:rPr>
              <w:t xml:space="preserve">diaphragme 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o</w:t>
            </w:r>
            <w:r>
              <w:rPr>
                <w:rFonts w:asciiTheme="minorHAnsi" w:hAnsiTheme="minorHAnsi"/>
                <w:sz w:val="20"/>
                <w:lang w:val="fr-BE"/>
              </w:rPr>
              <w:t>u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>
              <w:rPr>
                <w:rFonts w:asciiTheme="minorHAnsi" w:hAnsiTheme="minorHAnsi"/>
                <w:sz w:val="20"/>
                <w:lang w:val="fr-BE"/>
              </w:rPr>
              <w:t>c</w:t>
            </w:r>
            <w:r w:rsidRPr="004146C6">
              <w:rPr>
                <w:rFonts w:asciiTheme="minorHAnsi" w:hAnsiTheme="minorHAnsi"/>
                <w:sz w:val="20"/>
                <w:lang w:val="fr-BE"/>
              </w:rPr>
              <w:t>ape cervicale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 xml:space="preserve">) </w:t>
            </w:r>
            <w:r>
              <w:rPr>
                <w:rFonts w:asciiTheme="minorHAnsi" w:hAnsiTheme="minorHAnsi"/>
                <w:sz w:val="20"/>
                <w:lang w:val="fr-BE"/>
              </w:rPr>
              <w:t>EN MEME TEMPS</w:t>
            </w:r>
            <w:r w:rsidR="00DB6125" w:rsidRPr="004146C6">
              <w:rPr>
                <w:rFonts w:asciiTheme="minorHAnsi" w:hAnsiTheme="minorHAnsi"/>
                <w:sz w:val="20"/>
                <w:lang w:val="fr-BE"/>
              </w:rPr>
              <w:t>.</w:t>
            </w:r>
          </w:p>
          <w:p w:rsidR="00DB6125" w:rsidRPr="004B4F83" w:rsidRDefault="00721309" w:rsidP="007C6C1D">
            <w:pPr>
              <w:spacing w:line="240" w:lineRule="auto"/>
              <w:ind w:left="284"/>
              <w:jc w:val="both"/>
              <w:rPr>
                <w:bCs/>
                <w:lang w:val="fr-BE"/>
              </w:rPr>
            </w:pPr>
            <w:r w:rsidRPr="00721309">
              <w:rPr>
                <w:lang w:val="fr-BE"/>
              </w:rPr>
              <w:t xml:space="preserve">Une contraception fiable doit être maintenue tout au long de la période de traitement </w:t>
            </w:r>
            <w:r>
              <w:rPr>
                <w:lang w:val="fr-BE"/>
              </w:rPr>
              <w:t xml:space="preserve">et ensuite pendant 3 mois après l’arrêt du traitement. </w:t>
            </w:r>
          </w:p>
          <w:p w:rsidR="00B279BE" w:rsidRPr="007C6C1D" w:rsidRDefault="007C6C1D" w:rsidP="00473A7C">
            <w:pPr>
              <w:spacing w:line="240" w:lineRule="auto"/>
              <w:ind w:left="284"/>
              <w:jc w:val="both"/>
              <w:rPr>
                <w:lang w:val="fr-BE"/>
              </w:rPr>
            </w:pPr>
            <w:r w:rsidRPr="007C6C1D">
              <w:rPr>
                <w:lang w:val="fr-BE"/>
              </w:rPr>
              <w:t xml:space="preserve">Les femmes sont considérées comme </w:t>
            </w:r>
            <w:r>
              <w:rPr>
                <w:lang w:val="fr-BE"/>
              </w:rPr>
              <w:t xml:space="preserve">étant </w:t>
            </w:r>
            <w:r w:rsidRPr="007C6C1D">
              <w:rPr>
                <w:lang w:val="fr-BE"/>
              </w:rPr>
              <w:t xml:space="preserve">ménopausées et </w:t>
            </w:r>
            <w:r w:rsidR="00721309">
              <w:rPr>
                <w:lang w:val="fr-BE"/>
              </w:rPr>
              <w:t xml:space="preserve">n’étant </w:t>
            </w:r>
            <w:r w:rsidRPr="007C6C1D">
              <w:rPr>
                <w:lang w:val="fr-BE"/>
              </w:rPr>
              <w:t xml:space="preserve">plus en état </w:t>
            </w:r>
            <w:r w:rsidR="00473A7C">
              <w:rPr>
                <w:lang w:val="fr-BE"/>
              </w:rPr>
              <w:t>d’être</w:t>
            </w:r>
            <w:r w:rsidRPr="007C6C1D">
              <w:rPr>
                <w:lang w:val="fr-BE"/>
              </w:rPr>
              <w:t xml:space="preserve"> enceinte</w:t>
            </w:r>
            <w:r w:rsidR="00473A7C">
              <w:rPr>
                <w:lang w:val="fr-BE"/>
              </w:rPr>
              <w:t>s</w:t>
            </w:r>
            <w:r w:rsidRPr="007C6C1D">
              <w:rPr>
                <w:lang w:val="fr-BE"/>
              </w:rPr>
              <w:t xml:space="preserve"> si elles sont (naturellement) en aménorrhée pendant au moins 12 mois avec un profil clinique adéquat (par ex. l’âge approprié</w:t>
            </w:r>
            <w:r w:rsidR="00DB6125" w:rsidRPr="007C6C1D">
              <w:rPr>
                <w:lang w:val="fr-BE"/>
              </w:rPr>
              <w:t>,</w:t>
            </w:r>
            <w:r>
              <w:rPr>
                <w:lang w:val="fr-BE"/>
              </w:rPr>
              <w:t xml:space="preserve"> </w:t>
            </w:r>
            <w:r w:rsidR="00DB6125" w:rsidRPr="007C6C1D">
              <w:rPr>
                <w:lang w:val="fr-BE"/>
              </w:rPr>
              <w:t xml:space="preserve"> </w:t>
            </w:r>
            <w:r>
              <w:rPr>
                <w:lang w:val="fr-BE"/>
              </w:rPr>
              <w:t>antécédents de symptômes  vasomoteurs</w:t>
            </w:r>
            <w:r w:rsidR="00DB6125" w:rsidRPr="007C6C1D">
              <w:rPr>
                <w:lang w:val="fr-BE"/>
              </w:rPr>
              <w:t>)</w:t>
            </w:r>
            <w:r w:rsidR="00473A7C">
              <w:rPr>
                <w:lang w:val="fr-BE"/>
              </w:rPr>
              <w:t>,</w:t>
            </w:r>
            <w:r w:rsidR="00DB6125" w:rsidRPr="007C6C1D">
              <w:rPr>
                <w:lang w:val="fr-BE"/>
              </w:rPr>
              <w:t xml:space="preserve"> </w:t>
            </w:r>
            <w:r>
              <w:rPr>
                <w:lang w:val="fr-BE"/>
              </w:rPr>
              <w:t>en aménorrhée spontanée depuis 6 mois avec des niveaux sériques</w:t>
            </w:r>
            <w:r w:rsidRPr="007C6C1D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de FSH </w:t>
            </w:r>
            <w:r w:rsidR="00DB6125" w:rsidRPr="007C6C1D">
              <w:rPr>
                <w:lang w:val="fr-BE"/>
              </w:rPr>
              <w:t xml:space="preserve">&gt; 40 </w:t>
            </w:r>
            <w:proofErr w:type="spellStart"/>
            <w:r w:rsidR="00DB6125" w:rsidRPr="007C6C1D">
              <w:rPr>
                <w:lang w:val="fr-BE"/>
              </w:rPr>
              <w:t>mIU</w:t>
            </w:r>
            <w:proofErr w:type="spellEnd"/>
            <w:r w:rsidR="00DB6125" w:rsidRPr="007C6C1D">
              <w:rPr>
                <w:lang w:val="fr-BE"/>
              </w:rPr>
              <w:t>/ml e</w:t>
            </w:r>
            <w:r>
              <w:rPr>
                <w:lang w:val="fr-BE"/>
              </w:rPr>
              <w:t>t d’œ</w:t>
            </w:r>
            <w:r w:rsidRPr="007C6C1D">
              <w:rPr>
                <w:lang w:val="fr-BE"/>
              </w:rPr>
              <w:t>stradiol</w:t>
            </w:r>
            <w:r w:rsidR="00DB6125" w:rsidRPr="007C6C1D">
              <w:rPr>
                <w:lang w:val="fr-BE"/>
              </w:rPr>
              <w:t xml:space="preserve"> &lt; 20 </w:t>
            </w:r>
            <w:proofErr w:type="spellStart"/>
            <w:r w:rsidR="00DB6125" w:rsidRPr="007C6C1D">
              <w:rPr>
                <w:lang w:val="fr-BE"/>
              </w:rPr>
              <w:t>pg</w:t>
            </w:r>
            <w:proofErr w:type="spellEnd"/>
            <w:r w:rsidR="00DB6125" w:rsidRPr="007C6C1D">
              <w:rPr>
                <w:lang w:val="fr-BE"/>
              </w:rPr>
              <w:t>/ml</w:t>
            </w:r>
            <w:r w:rsidR="00473A7C">
              <w:rPr>
                <w:lang w:val="fr-BE"/>
              </w:rPr>
              <w:t>,</w:t>
            </w:r>
            <w:r w:rsidR="00DB6125" w:rsidRPr="007C6C1D">
              <w:rPr>
                <w:lang w:val="fr-BE"/>
              </w:rPr>
              <w:t xml:space="preserve"> </w:t>
            </w:r>
            <w:r>
              <w:rPr>
                <w:lang w:val="fr-BE"/>
              </w:rPr>
              <w:t xml:space="preserve">ou si elles ont subi une ovariectomie chirurgicale bilatérale (avec ou sans hystérectomie) il y a au moins six semaines. </w:t>
            </w:r>
            <w:r w:rsidR="00DB6125" w:rsidRPr="007C6C1D">
              <w:rPr>
                <w:lang w:val="fr-BE"/>
              </w:rPr>
              <w:t xml:space="preserve"> </w:t>
            </w:r>
            <w:r>
              <w:rPr>
                <w:lang w:val="fr-BE"/>
              </w:rPr>
              <w:t>Si seule une ovariect</w:t>
            </w:r>
            <w:r w:rsidR="00473A7C">
              <w:rPr>
                <w:lang w:val="fr-BE"/>
              </w:rPr>
              <w:t xml:space="preserve">omie a été réalisée, la femme </w:t>
            </w:r>
            <w:r>
              <w:rPr>
                <w:lang w:val="fr-BE"/>
              </w:rPr>
              <w:t xml:space="preserve">est considérée  comme </w:t>
            </w:r>
            <w:r w:rsidR="00473A7C">
              <w:rPr>
                <w:lang w:val="fr-BE"/>
              </w:rPr>
              <w:t xml:space="preserve">n’étant </w:t>
            </w:r>
            <w:r>
              <w:rPr>
                <w:lang w:val="fr-BE"/>
              </w:rPr>
              <w:t xml:space="preserve">plus en état </w:t>
            </w:r>
            <w:r w:rsidR="00473A7C">
              <w:rPr>
                <w:lang w:val="fr-BE"/>
              </w:rPr>
              <w:t>d’être</w:t>
            </w:r>
            <w:r>
              <w:rPr>
                <w:lang w:val="fr-BE"/>
              </w:rPr>
              <w:t xml:space="preserve"> enceinte uniquement si cela a été confirmé par une évaluation suivant la mesure du niveau hormonal.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B512FC" w:rsidRDefault="00B512FC" w:rsidP="007C6C1D">
            <w:pPr>
              <w:pStyle w:val="Paragraphedeliste"/>
              <w:numPr>
                <w:ilvl w:val="0"/>
                <w:numId w:val="23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B512FC">
              <w:rPr>
                <w:rFonts w:asciiTheme="minorHAnsi" w:hAnsiTheme="minorHAnsi"/>
                <w:sz w:val="20"/>
                <w:lang w:val="fr-BE"/>
              </w:rPr>
              <w:t>Hommes sexuellement actifs, à moins qu’ils n’utilisent un préservatif lors des rapports</w:t>
            </w:r>
            <w:r w:rsidR="007C6C1D">
              <w:rPr>
                <w:rFonts w:asciiTheme="minorHAnsi" w:hAnsiTheme="minorHAnsi"/>
                <w:sz w:val="20"/>
                <w:lang w:val="fr-BE"/>
              </w:rPr>
              <w:t>,</w:t>
            </w:r>
            <w:r w:rsidRPr="00B512FC">
              <w:rPr>
                <w:rFonts w:asciiTheme="minorHAnsi" w:hAnsiTheme="minorHAnsi"/>
                <w:sz w:val="20"/>
                <w:lang w:val="fr-BE"/>
              </w:rPr>
              <w:t xml:space="preserve"> pendant qu’ils prennent le médicament et pendant 5 mois après l’arr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êt du traitement avec </w:t>
            </w:r>
            <w:r w:rsidR="00394DBD">
              <w:rPr>
                <w:rFonts w:asciiTheme="minorHAnsi" w:hAnsiTheme="minorHAnsi"/>
                <w:sz w:val="20"/>
                <w:lang w:val="fr-BE"/>
              </w:rPr>
              <w:t xml:space="preserve">le </w:t>
            </w:r>
            <w:proofErr w:type="spellStart"/>
            <w:r w:rsidR="00DB6125" w:rsidRPr="00B512FC">
              <w:rPr>
                <w:rFonts w:asciiTheme="minorHAnsi" w:hAnsiTheme="minorHAnsi"/>
                <w:sz w:val="20"/>
                <w:lang w:val="fr-BE"/>
              </w:rPr>
              <w:t>midostaurin</w:t>
            </w:r>
            <w:proofErr w:type="spellEnd"/>
            <w:r w:rsidR="00DB6125" w:rsidRPr="00B512FC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Pr="007C6C1D">
              <w:rPr>
                <w:rFonts w:asciiTheme="minorHAnsi" w:hAnsiTheme="minorHAnsi"/>
                <w:sz w:val="20"/>
                <w:lang w:val="fr-BE"/>
              </w:rPr>
              <w:t xml:space="preserve">Pendant cette </w:t>
            </w:r>
            <w:r w:rsidR="00DB6125" w:rsidRPr="007C6C1D">
              <w:rPr>
                <w:rFonts w:asciiTheme="minorHAnsi" w:hAnsiTheme="minorHAnsi"/>
                <w:sz w:val="20"/>
                <w:lang w:val="fr-BE"/>
              </w:rPr>
              <w:t>p</w:t>
            </w:r>
            <w:r w:rsidRPr="007C6C1D">
              <w:rPr>
                <w:rFonts w:asciiTheme="minorHAnsi" w:hAnsiTheme="minorHAnsi"/>
                <w:sz w:val="20"/>
                <w:lang w:val="fr-BE"/>
              </w:rPr>
              <w:t>é</w:t>
            </w:r>
            <w:r w:rsidR="00DB6125" w:rsidRPr="007C6C1D">
              <w:rPr>
                <w:rFonts w:asciiTheme="minorHAnsi" w:hAnsiTheme="minorHAnsi"/>
                <w:sz w:val="20"/>
                <w:lang w:val="fr-BE"/>
              </w:rPr>
              <w:t>riode</w:t>
            </w:r>
            <w:r w:rsidR="007C6C1D" w:rsidRPr="007C6C1D">
              <w:rPr>
                <w:rFonts w:asciiTheme="minorHAnsi" w:hAnsiTheme="minorHAnsi"/>
                <w:sz w:val="20"/>
                <w:lang w:val="fr-BE"/>
              </w:rPr>
              <w:t>,</w:t>
            </w:r>
            <w:r w:rsidR="00DB6125" w:rsidRPr="007C6C1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Pr="007C6C1D">
              <w:rPr>
                <w:rFonts w:asciiTheme="minorHAnsi" w:hAnsiTheme="minorHAnsi"/>
                <w:sz w:val="20"/>
                <w:lang w:val="fr-BE"/>
              </w:rPr>
              <w:t>ils ne peuvent pas concevoir d’enfants</w:t>
            </w:r>
            <w:r w:rsidR="00DB6125" w:rsidRPr="007C6C1D">
              <w:rPr>
                <w:rFonts w:asciiTheme="minorHAnsi" w:hAnsiTheme="minorHAnsi"/>
                <w:sz w:val="20"/>
                <w:lang w:val="fr-BE"/>
              </w:rPr>
              <w:t xml:space="preserve">. </w:t>
            </w:r>
            <w:r w:rsidRPr="00B512FC">
              <w:rPr>
                <w:rFonts w:asciiTheme="minorHAnsi" w:hAnsiTheme="minorHAnsi"/>
                <w:sz w:val="20"/>
                <w:lang w:val="fr-BE"/>
              </w:rPr>
              <w:t xml:space="preserve">Un préservatif doit être utilisé, également pour les hommes ayant subi une vasectomie, pour éviter que le médicament soit transmis via le </w:t>
            </w:r>
            <w:r w:rsidR="007C6C1D">
              <w:rPr>
                <w:rFonts w:asciiTheme="minorHAnsi" w:hAnsiTheme="minorHAnsi"/>
                <w:sz w:val="20"/>
                <w:lang w:val="fr-BE"/>
              </w:rPr>
              <w:t>liquide séminal</w:t>
            </w:r>
            <w:r w:rsidR="00DB6125" w:rsidRPr="00B512FC">
              <w:rPr>
                <w:rFonts w:asciiTheme="minorHAnsi" w:hAnsiTheme="minorHAnsi"/>
                <w:sz w:val="20"/>
                <w:lang w:val="fr-BE"/>
              </w:rPr>
              <w:t>.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394DBD" w:rsidRDefault="008E5774" w:rsidP="00394DBD">
            <w:pPr>
              <w:pStyle w:val="Paragraphedeliste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Participation à une étude antérieure </w:t>
            </w:r>
            <w:r w:rsidR="00394DBD">
              <w:rPr>
                <w:rFonts w:asciiTheme="minorHAnsi" w:hAnsiTheme="minorHAnsi"/>
                <w:sz w:val="20"/>
                <w:lang w:val="fr-BE"/>
              </w:rPr>
              <w:t xml:space="preserve">soit </w:t>
            </w: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dans les 30 jours </w:t>
            </w:r>
            <w:r w:rsidRPr="00394DBD">
              <w:rPr>
                <w:rFonts w:asciiTheme="minorHAnsi" w:hAnsiTheme="minorHAnsi"/>
                <w:sz w:val="20"/>
                <w:lang w:val="fr-BE"/>
              </w:rPr>
              <w:t>précédant l’inscription</w:t>
            </w:r>
            <w:r w:rsidR="00394DBD" w:rsidRPr="00394DBD">
              <w:rPr>
                <w:rFonts w:asciiTheme="minorHAnsi" w:hAnsiTheme="minorHAnsi"/>
                <w:sz w:val="20"/>
                <w:lang w:val="fr-BE"/>
              </w:rPr>
              <w:t>,</w:t>
            </w:r>
            <w:r w:rsidRPr="00394DB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394DBD" w:rsidRPr="00394DBD">
              <w:rPr>
                <w:rFonts w:asciiTheme="minorHAnsi" w:hAnsiTheme="minorHAnsi"/>
                <w:sz w:val="20"/>
                <w:lang w:val="fr-BE"/>
              </w:rPr>
              <w:t>soit</w:t>
            </w:r>
            <w:r w:rsidRPr="00394DBD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394DBD" w:rsidRPr="00394DBD">
              <w:rPr>
                <w:rFonts w:asciiTheme="minorHAnsi" w:hAnsiTheme="minorHAnsi"/>
                <w:sz w:val="20"/>
                <w:lang w:val="fr-BE"/>
              </w:rPr>
              <w:t>pendant une durée</w:t>
            </w:r>
            <w:r w:rsidRPr="00394DBD">
              <w:rPr>
                <w:rFonts w:asciiTheme="minorHAnsi" w:hAnsiTheme="minorHAnsi"/>
                <w:sz w:val="20"/>
                <w:lang w:val="fr-BE"/>
              </w:rPr>
              <w:t xml:space="preserve"> correspondant à 5  fois la demi-vie du médicament étudié</w:t>
            </w:r>
            <w:r w:rsidR="00394DBD" w:rsidRPr="00394DBD">
              <w:rPr>
                <w:rFonts w:asciiTheme="minorHAnsi" w:hAnsiTheme="minorHAnsi"/>
                <w:sz w:val="20"/>
                <w:lang w:val="fr-BE"/>
              </w:rPr>
              <w:t xml:space="preserve"> avant l’inscription</w:t>
            </w:r>
            <w:r w:rsidRPr="00394DBD">
              <w:rPr>
                <w:rFonts w:asciiTheme="minorHAnsi" w:hAnsiTheme="minorHAnsi"/>
                <w:sz w:val="20"/>
                <w:lang w:val="fr-BE"/>
              </w:rPr>
              <w:t>, le plus long de ces deux.</w:t>
            </w: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4B4F83" w:rsidRDefault="008E5774" w:rsidP="008E5774">
            <w:pPr>
              <w:pStyle w:val="Paragraphedeliste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Ne pas être en état de comprendre et d’appliquer les instructions et exigences du traitement. </w:t>
            </w:r>
          </w:p>
        </w:tc>
      </w:tr>
      <w:tr w:rsidR="00B279BE" w:rsidRPr="004B4F83" w:rsidTr="00B279BE">
        <w:trPr>
          <w:cantSplit/>
          <w:trHeight w:val="110"/>
        </w:trPr>
        <w:tc>
          <w:tcPr>
            <w:tcW w:w="9889" w:type="dxa"/>
          </w:tcPr>
          <w:p w:rsidR="00B279BE" w:rsidRPr="008E5774" w:rsidRDefault="008E5774" w:rsidP="008E5774">
            <w:pPr>
              <w:pStyle w:val="Paragraphedeliste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>Le patient a déjà achevé le cycle 2 de chimiothérapie consolidée.</w:t>
            </w:r>
            <w:r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DB6125" w:rsidRPr="008E5774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</w:p>
        </w:tc>
      </w:tr>
      <w:tr w:rsidR="00C908FD" w:rsidRPr="004B4F83" w:rsidTr="00B279BE">
        <w:trPr>
          <w:cantSplit/>
          <w:trHeight w:val="110"/>
        </w:trPr>
        <w:tc>
          <w:tcPr>
            <w:tcW w:w="9889" w:type="dxa"/>
          </w:tcPr>
          <w:p w:rsidR="00C908FD" w:rsidRPr="008E5774" w:rsidRDefault="008E5774" w:rsidP="008E5774">
            <w:pPr>
              <w:pStyle w:val="Paragraphedeliste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Forme 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>M3</w:t>
            </w: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 d’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>AML (</w:t>
            </w:r>
            <w:r w:rsidRPr="008E5774">
              <w:rPr>
                <w:rFonts w:asciiTheme="minorHAnsi" w:hAnsiTheme="minorHAnsi"/>
                <w:sz w:val="20"/>
                <w:lang w:val="fr-BE"/>
              </w:rPr>
              <w:t>autre nom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 xml:space="preserve">: </w:t>
            </w:r>
            <w:r w:rsidRPr="008E5774">
              <w:rPr>
                <w:rFonts w:asciiTheme="minorHAnsi" w:hAnsiTheme="minorHAnsi"/>
                <w:sz w:val="20"/>
                <w:lang w:val="fr-BE"/>
              </w:rPr>
              <w:t xml:space="preserve">leucémie </w:t>
            </w:r>
            <w:proofErr w:type="spellStart"/>
            <w:r w:rsidRPr="008E5774">
              <w:rPr>
                <w:rFonts w:asciiTheme="minorHAnsi" w:hAnsiTheme="minorHAnsi"/>
                <w:sz w:val="20"/>
                <w:lang w:val="fr-BE"/>
              </w:rPr>
              <w:t>promyélocytaire</w:t>
            </w:r>
            <w:proofErr w:type="spellEnd"/>
            <w:r>
              <w:rPr>
                <w:rFonts w:asciiTheme="minorHAnsi" w:hAnsiTheme="minorHAnsi"/>
                <w:sz w:val="20"/>
                <w:lang w:val="fr-BE"/>
              </w:rPr>
              <w:t xml:space="preserve"> aiguë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 xml:space="preserve">) </w:t>
            </w:r>
          </w:p>
        </w:tc>
      </w:tr>
      <w:tr w:rsidR="00C908FD" w:rsidRPr="004B4F83" w:rsidTr="00B279BE">
        <w:trPr>
          <w:cantSplit/>
          <w:trHeight w:val="110"/>
        </w:trPr>
        <w:tc>
          <w:tcPr>
            <w:tcW w:w="9889" w:type="dxa"/>
          </w:tcPr>
          <w:p w:rsidR="00C908FD" w:rsidRPr="008E5774" w:rsidRDefault="00AE1B81" w:rsidP="00F04FBE">
            <w:pPr>
              <w:pStyle w:val="Paragraphedeliste"/>
              <w:numPr>
                <w:ilvl w:val="0"/>
                <w:numId w:val="24"/>
              </w:numPr>
              <w:ind w:left="284" w:hanging="284"/>
              <w:jc w:val="both"/>
              <w:rPr>
                <w:rFonts w:asciiTheme="minorHAnsi" w:hAnsiTheme="minorHAnsi"/>
                <w:sz w:val="20"/>
                <w:lang w:val="fr-BE"/>
              </w:rPr>
            </w:pPr>
            <w:r w:rsidRPr="008E5774">
              <w:rPr>
                <w:rFonts w:asciiTheme="minorHAnsi" w:hAnsiTheme="minorHAnsi"/>
                <w:sz w:val="20"/>
                <w:lang w:val="fr-BE"/>
              </w:rPr>
              <w:t>P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>ati</w:t>
            </w:r>
            <w:r w:rsidR="008E5774" w:rsidRPr="008E5774">
              <w:rPr>
                <w:rFonts w:asciiTheme="minorHAnsi" w:hAnsiTheme="minorHAnsi"/>
                <w:sz w:val="20"/>
                <w:lang w:val="fr-BE"/>
              </w:rPr>
              <w:t>ents avec un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8E5774" w:rsidRPr="008E5774">
              <w:rPr>
                <w:rFonts w:asciiTheme="minorHAnsi" w:hAnsiTheme="minorHAnsi"/>
                <w:sz w:val="20"/>
                <w:lang w:val="fr-BE"/>
              </w:rPr>
              <w:t>antécédent</w:t>
            </w:r>
            <w:r w:rsidR="00C908FD" w:rsidRPr="008E5774">
              <w:rPr>
                <w:rFonts w:asciiTheme="minorHAnsi" w:hAnsiTheme="minorHAnsi"/>
                <w:sz w:val="20"/>
                <w:lang w:val="fr-BE"/>
              </w:rPr>
              <w:t xml:space="preserve"> </w:t>
            </w:r>
            <w:r w:rsidR="008E5774" w:rsidRPr="008E5774">
              <w:rPr>
                <w:rFonts w:asciiTheme="minorHAnsi" w:hAnsiTheme="minorHAnsi"/>
                <w:sz w:val="20"/>
                <w:lang w:val="fr-BE"/>
              </w:rPr>
              <w:t>d’infarctus aigu du myocarde</w:t>
            </w:r>
            <w:r w:rsidR="008E5774">
              <w:rPr>
                <w:rFonts w:asciiTheme="minorHAnsi" w:hAnsiTheme="minorHAnsi"/>
                <w:sz w:val="20"/>
                <w:lang w:val="fr-BE"/>
              </w:rPr>
              <w:t xml:space="preserve"> dans les 6 derniers mois.</w:t>
            </w:r>
          </w:p>
        </w:tc>
      </w:tr>
    </w:tbl>
    <w:p w:rsidR="00B279BE" w:rsidRPr="008E5774" w:rsidRDefault="00B279BE" w:rsidP="00B279BE">
      <w:pPr>
        <w:pStyle w:val="Sansinterligne"/>
        <w:rPr>
          <w:lang w:val="fr-BE"/>
        </w:rPr>
      </w:pPr>
    </w:p>
    <w:p w:rsidR="00356562" w:rsidRPr="008E5774" w:rsidRDefault="00356562" w:rsidP="00356562">
      <w:pPr>
        <w:pStyle w:val="Sansinterligne"/>
        <w:rPr>
          <w:lang w:val="fr-BE"/>
        </w:rPr>
      </w:pPr>
    </w:p>
    <w:p w:rsidR="00AE1B81" w:rsidRPr="008E5774" w:rsidRDefault="00AE1B81">
      <w:pPr>
        <w:spacing w:after="200"/>
        <w:rPr>
          <w:lang w:val="fr-BE"/>
        </w:rPr>
      </w:pPr>
      <w:r w:rsidRPr="008E5774">
        <w:rPr>
          <w:lang w:val="fr-BE"/>
        </w:rPr>
        <w:br w:type="page"/>
      </w:r>
    </w:p>
    <w:p w:rsidR="00762F6E" w:rsidRPr="008E5774" w:rsidRDefault="00762F6E" w:rsidP="00356562">
      <w:pPr>
        <w:pStyle w:val="Sansinterligne"/>
        <w:rPr>
          <w:lang w:val="fr-BE"/>
        </w:rPr>
      </w:pPr>
    </w:p>
    <w:p w:rsidR="00356562" w:rsidRPr="00394DBD" w:rsidRDefault="00762F6E" w:rsidP="00C908FD">
      <w:pPr>
        <w:pStyle w:val="Titre2"/>
        <w:numPr>
          <w:ilvl w:val="0"/>
          <w:numId w:val="0"/>
        </w:numPr>
        <w:ind w:left="720" w:hanging="720"/>
      </w:pPr>
      <w:r w:rsidRPr="00394DBD">
        <w:t>SPECIALISATI</w:t>
      </w:r>
      <w:r w:rsidR="00394DBD" w:rsidRPr="00394DBD">
        <w:t>ON DU PRESCRIPTEUR</w:t>
      </w:r>
      <w:r w:rsidRPr="00394DBD">
        <w:t xml:space="preserve"> </w:t>
      </w:r>
    </w:p>
    <w:p w:rsidR="00356562" w:rsidRPr="00394DBD" w:rsidRDefault="00356562" w:rsidP="00356562">
      <w:pPr>
        <w:pStyle w:val="Sansinterligne"/>
        <w:rPr>
          <w:lang w:val="fr-BE"/>
        </w:rPr>
      </w:pPr>
    </w:p>
    <w:p w:rsidR="000A0FC5" w:rsidRPr="00394DBD" w:rsidRDefault="000A0FC5" w:rsidP="00065731">
      <w:pPr>
        <w:pStyle w:val="Sansinterligne"/>
        <w:ind w:left="567" w:right="567"/>
        <w:jc w:val="both"/>
        <w:rPr>
          <w:lang w:val="fr-BE"/>
        </w:rPr>
      </w:pPr>
    </w:p>
    <w:p w:rsidR="000A0FC5" w:rsidRPr="00394DBD" w:rsidRDefault="00FC7B5C" w:rsidP="00AE1B81">
      <w:pPr>
        <w:pStyle w:val="Sansinterligne"/>
        <w:ind w:right="567"/>
        <w:jc w:val="both"/>
        <w:rPr>
          <w:lang w:val="fr-BE"/>
        </w:rPr>
      </w:pPr>
      <w:r w:rsidRPr="00394DBD">
        <w:rPr>
          <w:b/>
          <w:lang w:val="fr-BE"/>
        </w:rPr>
        <w:t>Sp</w:t>
      </w:r>
      <w:r w:rsidR="00394DBD" w:rsidRPr="00394DBD">
        <w:rPr>
          <w:b/>
          <w:lang w:val="fr-BE"/>
        </w:rPr>
        <w:t>é</w:t>
      </w:r>
      <w:r w:rsidRPr="00394DBD">
        <w:rPr>
          <w:b/>
          <w:lang w:val="fr-BE"/>
        </w:rPr>
        <w:t>cialisati</w:t>
      </w:r>
      <w:r w:rsidR="00394DBD" w:rsidRPr="00394DBD">
        <w:rPr>
          <w:b/>
          <w:lang w:val="fr-BE"/>
        </w:rPr>
        <w:t>on</w:t>
      </w:r>
      <w:r w:rsidRPr="00394DBD">
        <w:rPr>
          <w:b/>
          <w:lang w:val="fr-BE"/>
        </w:rPr>
        <w:t xml:space="preserve"> </w:t>
      </w:r>
      <w:r w:rsidR="00394DBD" w:rsidRPr="00394DBD">
        <w:rPr>
          <w:b/>
          <w:lang w:val="fr-BE"/>
        </w:rPr>
        <w:t>du prescripteur</w:t>
      </w:r>
      <w:r w:rsidRPr="00394DBD">
        <w:rPr>
          <w:lang w:val="fr-BE"/>
        </w:rPr>
        <w:t xml:space="preserve"> </w:t>
      </w:r>
    </w:p>
    <w:p w:rsidR="000A0FC5" w:rsidRPr="00394DBD" w:rsidRDefault="000A0FC5" w:rsidP="00AE1B81">
      <w:pPr>
        <w:pStyle w:val="Sansinterligne"/>
        <w:ind w:right="567"/>
        <w:jc w:val="both"/>
        <w:rPr>
          <w:lang w:val="fr-BE"/>
        </w:rPr>
      </w:pPr>
    </w:p>
    <w:p w:rsidR="00762F6E" w:rsidRDefault="00394DBD" w:rsidP="00394DBD">
      <w:pPr>
        <w:pStyle w:val="Sansinterligne"/>
        <w:ind w:right="567"/>
        <w:jc w:val="both"/>
        <w:rPr>
          <w:rFonts w:cs="Arial"/>
          <w:szCs w:val="18"/>
          <w:lang w:val="fr-BE"/>
        </w:rPr>
      </w:pPr>
      <w:r w:rsidRPr="00394DBD">
        <w:rPr>
          <w:lang w:val="fr-BE"/>
        </w:rPr>
        <w:t>Médecin spécialiste en médecine interne</w:t>
      </w:r>
      <w:r w:rsidR="00065731" w:rsidRPr="00394DBD">
        <w:rPr>
          <w:lang w:val="fr-BE"/>
        </w:rPr>
        <w:t xml:space="preserve"> </w:t>
      </w:r>
      <w:r w:rsidR="0071742E" w:rsidRPr="004915C8">
        <w:rPr>
          <w:rFonts w:cs="Arial"/>
          <w:szCs w:val="18"/>
          <w:lang w:val="fr-BE"/>
        </w:rPr>
        <w:t>porteur du titre professionnel particulier en hématologie clinique</w:t>
      </w:r>
    </w:p>
    <w:p w:rsidR="00394DBD" w:rsidRPr="0071742E" w:rsidRDefault="00394DBD" w:rsidP="00394DBD">
      <w:pPr>
        <w:pStyle w:val="Sansinterligne"/>
        <w:ind w:right="567"/>
        <w:jc w:val="both"/>
        <w:rPr>
          <w:lang w:val="fr-BE"/>
        </w:rPr>
      </w:pPr>
    </w:p>
    <w:p w:rsidR="009D768F" w:rsidRPr="0071742E" w:rsidRDefault="009D768F" w:rsidP="009D768F">
      <w:pPr>
        <w:pStyle w:val="Sansinterligne"/>
        <w:rPr>
          <w:lang w:val="fr-BE"/>
        </w:rPr>
      </w:pPr>
    </w:p>
    <w:p w:rsidR="00C908FD" w:rsidRPr="00DE148E" w:rsidRDefault="00394DBD" w:rsidP="00C908FD">
      <w:pPr>
        <w:pStyle w:val="Titre2"/>
        <w:numPr>
          <w:ilvl w:val="0"/>
          <w:numId w:val="0"/>
        </w:numPr>
        <w:ind w:left="720" w:hanging="720"/>
        <w:rPr>
          <w:lang w:val="nl-BE"/>
        </w:rPr>
      </w:pPr>
      <w:r>
        <w:rPr>
          <w:lang w:val="nl-BE"/>
        </w:rPr>
        <w:t>MONTANT DE L’INTERVENTION</w:t>
      </w:r>
    </w:p>
    <w:p w:rsidR="00356562" w:rsidRPr="00FC6706" w:rsidRDefault="00356562" w:rsidP="00356562">
      <w:pPr>
        <w:pStyle w:val="Sansinterligne"/>
      </w:pPr>
    </w:p>
    <w:p w:rsidR="00C908FD" w:rsidRPr="00D07969" w:rsidRDefault="00C908FD" w:rsidP="00C908FD">
      <w:pPr>
        <w:pStyle w:val="Sansinterligne"/>
      </w:pP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5353"/>
        <w:gridCol w:w="4536"/>
      </w:tblGrid>
      <w:tr w:rsidR="00C908FD" w:rsidRPr="00A77546" w:rsidTr="00B27C05">
        <w:tc>
          <w:tcPr>
            <w:tcW w:w="5353" w:type="dxa"/>
            <w:shd w:val="clear" w:color="auto" w:fill="E5B8B7" w:themeFill="accent2" w:themeFillTint="66"/>
          </w:tcPr>
          <w:p w:rsidR="00C908FD" w:rsidRPr="004B4F83" w:rsidRDefault="00C908FD" w:rsidP="00C908FD">
            <w:pPr>
              <w:jc w:val="both"/>
              <w:rPr>
                <w:i/>
                <w:lang w:val="fr-BE"/>
              </w:rPr>
            </w:pPr>
            <w:r w:rsidRPr="004B4F83">
              <w:rPr>
                <w:i/>
                <w:lang w:val="fr-BE"/>
              </w:rPr>
              <w:t>RYDAPT (</w:t>
            </w:r>
            <w:proofErr w:type="spellStart"/>
            <w:r w:rsidRPr="004B4F83">
              <w:rPr>
                <w:i/>
                <w:lang w:val="fr-BE"/>
              </w:rPr>
              <w:t>midostaurin</w:t>
            </w:r>
            <w:proofErr w:type="spellEnd"/>
            <w:r w:rsidRPr="004B4F83">
              <w:rPr>
                <w:i/>
                <w:lang w:val="fr-BE"/>
              </w:rPr>
              <w:t>)</w:t>
            </w:r>
          </w:p>
          <w:p w:rsidR="00C908FD" w:rsidRPr="004B4F83" w:rsidRDefault="00C908FD" w:rsidP="00394DBD">
            <w:pPr>
              <w:keepNext/>
              <w:jc w:val="both"/>
              <w:rPr>
                <w:i/>
                <w:lang w:val="fr-BE"/>
              </w:rPr>
            </w:pPr>
            <w:r w:rsidRPr="004B4F83">
              <w:rPr>
                <w:i/>
                <w:lang w:val="fr-BE"/>
              </w:rPr>
              <w:t xml:space="preserve"> 25 mg capsules</w:t>
            </w:r>
            <w:r w:rsidR="00394DBD" w:rsidRPr="004B4F83">
              <w:rPr>
                <w:i/>
                <w:lang w:val="fr-BE"/>
              </w:rPr>
              <w:t xml:space="preserve"> molles</w:t>
            </w:r>
          </w:p>
        </w:tc>
        <w:tc>
          <w:tcPr>
            <w:tcW w:w="4536" w:type="dxa"/>
            <w:shd w:val="clear" w:color="auto" w:fill="E5B8B7" w:themeFill="accent2" w:themeFillTint="66"/>
          </w:tcPr>
          <w:p w:rsidR="00C908FD" w:rsidRPr="00956A55" w:rsidRDefault="00394DBD" w:rsidP="00C908FD">
            <w:pPr>
              <w:keepNext/>
              <w:jc w:val="center"/>
            </w:pPr>
            <w:proofErr w:type="spellStart"/>
            <w:r>
              <w:rPr>
                <w:rFonts w:ascii="Calibri" w:hAnsi="Calibri"/>
              </w:rPr>
              <w:t>Montant</w:t>
            </w:r>
            <w:proofErr w:type="spellEnd"/>
            <w:r>
              <w:rPr>
                <w:rFonts w:ascii="Calibri" w:hAnsi="Calibri"/>
              </w:rPr>
              <w:t xml:space="preserve"> de </w:t>
            </w:r>
            <w:proofErr w:type="spellStart"/>
            <w:r>
              <w:rPr>
                <w:rFonts w:ascii="Calibri" w:hAnsi="Calibri"/>
              </w:rPr>
              <w:t>l’intervention</w:t>
            </w:r>
            <w:proofErr w:type="spellEnd"/>
            <w:r w:rsidR="00C908FD" w:rsidRPr="00956A55">
              <w:t xml:space="preserve"> (EURO)</w:t>
            </w:r>
          </w:p>
        </w:tc>
      </w:tr>
      <w:tr w:rsidR="00394DBD" w:rsidRPr="00A77546" w:rsidTr="00C908FD">
        <w:tc>
          <w:tcPr>
            <w:tcW w:w="5353" w:type="dxa"/>
          </w:tcPr>
          <w:p w:rsidR="00394DBD" w:rsidRPr="007F20D5" w:rsidRDefault="00394DBD" w:rsidP="00394DBD">
            <w:pPr>
              <w:keepNext/>
              <w:jc w:val="both"/>
              <w:rPr>
                <w:lang w:val="fr-BE"/>
              </w:rPr>
            </w:pPr>
            <w:r w:rsidRPr="007F20D5">
              <w:rPr>
                <w:lang w:val="fr-BE"/>
              </w:rPr>
              <w:t xml:space="preserve">Intervention unique pour le CUP de cohorte mixte </w:t>
            </w:r>
          </w:p>
        </w:tc>
        <w:tc>
          <w:tcPr>
            <w:tcW w:w="4536" w:type="dxa"/>
          </w:tcPr>
          <w:p w:rsidR="00394DBD" w:rsidRPr="00495856" w:rsidRDefault="00394DBD" w:rsidP="00C908FD">
            <w:pPr>
              <w:keepNext/>
              <w:jc w:val="center"/>
            </w:pPr>
            <w:r w:rsidRPr="00495856">
              <w:t>20.</w:t>
            </w:r>
            <w:r>
              <w:t>000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  <w:tr w:rsidR="00394DBD" w:rsidRPr="00A77546" w:rsidTr="00C908FD">
        <w:tc>
          <w:tcPr>
            <w:tcW w:w="5353" w:type="dxa"/>
          </w:tcPr>
          <w:p w:rsidR="00394DBD" w:rsidRPr="003B17BE" w:rsidRDefault="00394DBD" w:rsidP="00394DBD">
            <w:pPr>
              <w:keepNext/>
              <w:jc w:val="both"/>
              <w:rPr>
                <w:lang w:val="fr-BE"/>
              </w:rPr>
            </w:pPr>
            <w:r w:rsidRPr="00371BD9">
              <w:rPr>
                <w:lang w:val="fr-BE"/>
              </w:rPr>
              <w:t xml:space="preserve">Intervention par patient par période de 12 mois de traitement </w:t>
            </w:r>
            <w:r>
              <w:rPr>
                <w:lang w:val="fr-BE"/>
              </w:rPr>
              <w:t>(à</w:t>
            </w:r>
            <w:r w:rsidRPr="003B17BE">
              <w:rPr>
                <w:lang w:val="fr-BE"/>
              </w:rPr>
              <w:t xml:space="preserve"> diminuer au prorata</w:t>
            </w:r>
            <w:r>
              <w:rPr>
                <w:lang w:val="fr-BE"/>
              </w:rPr>
              <w:t>)</w:t>
            </w:r>
          </w:p>
        </w:tc>
        <w:tc>
          <w:tcPr>
            <w:tcW w:w="4536" w:type="dxa"/>
          </w:tcPr>
          <w:p w:rsidR="00394DBD" w:rsidRPr="00495856" w:rsidRDefault="00394DBD" w:rsidP="00C908FD">
            <w:pPr>
              <w:keepNext/>
              <w:jc w:val="center"/>
            </w:pPr>
            <w:r>
              <w:t>2.500</w:t>
            </w:r>
            <w:r w:rsidRPr="00495856">
              <w:t xml:space="preserve"> </w:t>
            </w:r>
            <w:r w:rsidRPr="00495856">
              <w:rPr>
                <w:rFonts w:ascii="Calibri" w:hAnsi="Calibri" w:cs="Calibri"/>
              </w:rPr>
              <w:t>€</w:t>
            </w:r>
          </w:p>
        </w:tc>
      </w:tr>
    </w:tbl>
    <w:p w:rsidR="00ED4CF3" w:rsidRDefault="00ED4CF3">
      <w:pPr>
        <w:spacing w:after="200"/>
      </w:pPr>
    </w:p>
    <w:p w:rsidR="000C0064" w:rsidRDefault="000C0064" w:rsidP="000C0064">
      <w:pPr>
        <w:pStyle w:val="Sansinterligne"/>
      </w:pPr>
    </w:p>
    <w:p w:rsidR="000C0064" w:rsidRDefault="000C0064" w:rsidP="000C0064">
      <w:pPr>
        <w:pStyle w:val="Sansinterligne"/>
      </w:pPr>
    </w:p>
    <w:p w:rsidR="000C0064" w:rsidRDefault="000C0064" w:rsidP="000C0064">
      <w:pPr>
        <w:pStyle w:val="Sansinterligne"/>
      </w:pPr>
    </w:p>
    <w:p w:rsidR="000C0064" w:rsidRDefault="000C0064" w:rsidP="000C0064">
      <w:pPr>
        <w:pStyle w:val="Sansinterligne"/>
      </w:pPr>
    </w:p>
    <w:p w:rsidR="00B66FF6" w:rsidRDefault="00B66FF6" w:rsidP="00356562">
      <w:pPr>
        <w:pStyle w:val="Sansinterligne"/>
      </w:pPr>
    </w:p>
    <w:p w:rsidR="00B66FF6" w:rsidRPr="007B6319" w:rsidRDefault="00B66FF6" w:rsidP="00356562">
      <w:pPr>
        <w:pStyle w:val="Sansinterligne"/>
      </w:pPr>
    </w:p>
    <w:p w:rsidR="00785D88" w:rsidRPr="00513796" w:rsidRDefault="00785D88" w:rsidP="00356562">
      <w:pPr>
        <w:pStyle w:val="Sansinterligne"/>
      </w:pPr>
    </w:p>
    <w:p w:rsidR="00B66FF6" w:rsidRDefault="00B66FF6" w:rsidP="00785D88">
      <w:pPr>
        <w:pStyle w:val="Sansinterligne"/>
      </w:pPr>
    </w:p>
    <w:p w:rsidR="00B66FF6" w:rsidRDefault="00B66FF6" w:rsidP="00785D88">
      <w:pPr>
        <w:pStyle w:val="Sansinterligne"/>
      </w:pPr>
    </w:p>
    <w:p w:rsidR="000C0064" w:rsidRDefault="000C0064" w:rsidP="00785D88">
      <w:pPr>
        <w:pStyle w:val="Sansinterligne"/>
      </w:pPr>
    </w:p>
    <w:p w:rsidR="000C0064" w:rsidRDefault="000C0064" w:rsidP="00785D88">
      <w:pPr>
        <w:pStyle w:val="Sansinterligne"/>
      </w:pPr>
    </w:p>
    <w:p w:rsidR="000C0064" w:rsidRDefault="000C0064" w:rsidP="00785D88">
      <w:pPr>
        <w:pStyle w:val="Sansinterligne"/>
      </w:pPr>
    </w:p>
    <w:p w:rsidR="000C0064" w:rsidRDefault="000C0064" w:rsidP="00785D88">
      <w:pPr>
        <w:pStyle w:val="Sansinterligne"/>
      </w:pPr>
    </w:p>
    <w:p w:rsidR="000C0064" w:rsidRDefault="000C0064" w:rsidP="00785D88">
      <w:pPr>
        <w:pStyle w:val="Sansinterligne"/>
      </w:pPr>
    </w:p>
    <w:p w:rsidR="00B66FF6" w:rsidRPr="00CF6826" w:rsidRDefault="00B66FF6" w:rsidP="00785D88">
      <w:pPr>
        <w:pStyle w:val="Sansinterligne"/>
      </w:pPr>
    </w:p>
    <w:sectPr w:rsidR="00B66FF6" w:rsidRPr="00CF6826" w:rsidSect="009015A3">
      <w:footerReference w:type="default" r:id="rId9"/>
      <w:pgSz w:w="12240" w:h="15840"/>
      <w:pgMar w:top="851" w:right="1134" w:bottom="851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2C47" w:rsidRDefault="000E2C47">
      <w:pPr>
        <w:spacing w:line="240" w:lineRule="auto"/>
      </w:pPr>
      <w:r>
        <w:separator/>
      </w:r>
    </w:p>
  </w:endnote>
  <w:endnote w:type="continuationSeparator" w:id="0">
    <w:p w:rsidR="000E2C47" w:rsidRDefault="000E2C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3161528"/>
      <w:docPartObj>
        <w:docPartGallery w:val="Page Numbers (Bottom of Page)"/>
        <w:docPartUnique/>
      </w:docPartObj>
    </w:sdtPr>
    <w:sdtEndPr/>
    <w:sdtContent>
      <w:p w:rsidR="00394DBD" w:rsidRDefault="00394DBD">
        <w:pPr>
          <w:pStyle w:val="Pieddepage"/>
        </w:pPr>
      </w:p>
      <w:tbl>
        <w:tblPr>
          <w:tblW w:w="5000" w:type="pct"/>
          <w:tblCellMar>
            <w:top w:w="72" w:type="dxa"/>
            <w:left w:w="115" w:type="dxa"/>
            <w:bottom w:w="72" w:type="dxa"/>
            <w:right w:w="115" w:type="dxa"/>
          </w:tblCellMar>
          <w:tblLook w:val="04A0" w:firstRow="1" w:lastRow="0" w:firstColumn="1" w:lastColumn="0" w:noHBand="0" w:noVBand="1"/>
        </w:tblPr>
        <w:tblGrid>
          <w:gridCol w:w="1020"/>
          <w:gridCol w:w="9182"/>
        </w:tblGrid>
        <w:tr w:rsidR="00394DBD" w:rsidRPr="004B4F83" w:rsidTr="009015A3">
          <w:tc>
            <w:tcPr>
              <w:tcW w:w="500" w:type="pct"/>
              <w:tcBorders>
                <w:top w:val="single" w:sz="4" w:space="0" w:color="943634" w:themeColor="accent2" w:themeShade="BF"/>
              </w:tcBorders>
              <w:shd w:val="clear" w:color="auto" w:fill="943634" w:themeFill="accent2" w:themeFillShade="BF"/>
            </w:tcPr>
            <w:p w:rsidR="00394DBD" w:rsidRPr="00F16A8E" w:rsidRDefault="00394DBD" w:rsidP="009015A3">
              <w:pPr>
                <w:tabs>
                  <w:tab w:val="center" w:pos="4680"/>
                  <w:tab w:val="right" w:pos="9360"/>
                </w:tabs>
                <w:spacing w:line="240" w:lineRule="auto"/>
                <w:jc w:val="right"/>
                <w:rPr>
                  <w:b/>
                  <w:bCs/>
                  <w:color w:val="FFFFFF" w:themeColor="background1"/>
                </w:rPr>
              </w:pPr>
              <w:r w:rsidRPr="00F16A8E">
                <w:fldChar w:fldCharType="begin"/>
              </w:r>
              <w:r w:rsidRPr="00F16A8E">
                <w:instrText>PAGE   \* MERGEFORMAT</w:instrText>
              </w:r>
              <w:r w:rsidRPr="00F16A8E">
                <w:fldChar w:fldCharType="separate"/>
              </w:r>
              <w:r w:rsidR="00977F19" w:rsidRPr="00977F19">
                <w:rPr>
                  <w:noProof/>
                  <w:color w:val="FFFFFF" w:themeColor="background1"/>
                  <w:lang w:val="nl-NL"/>
                </w:rPr>
                <w:t>3</w:t>
              </w:r>
              <w:r w:rsidRPr="00F16A8E">
                <w:rPr>
                  <w:color w:val="FFFFFF" w:themeColor="background1"/>
                </w:rPr>
                <w:fldChar w:fldCharType="end"/>
              </w:r>
            </w:p>
          </w:tc>
          <w:tc>
            <w:tcPr>
              <w:tcW w:w="4500" w:type="pct"/>
              <w:tcBorders>
                <w:top w:val="single" w:sz="4" w:space="0" w:color="auto"/>
              </w:tcBorders>
            </w:tcPr>
            <w:p w:rsidR="00394DBD" w:rsidRPr="004B4F83" w:rsidRDefault="00B27C05" w:rsidP="009015A3">
              <w:pPr>
                <w:pStyle w:val="Pieddepage"/>
                <w:tabs>
                  <w:tab w:val="right" w:pos="10065"/>
                </w:tabs>
                <w:rPr>
                  <w:lang w:val="fr-BE"/>
                </w:rPr>
              </w:pPr>
              <w:r w:rsidRPr="004B4F83">
                <w:rPr>
                  <w:lang w:val="fr-BE"/>
                </w:rPr>
                <w:t xml:space="preserve">Décision de cohorte </w:t>
              </w:r>
              <w:r w:rsidR="00394DBD" w:rsidRPr="004B4F83">
                <w:rPr>
                  <w:lang w:val="fr-BE"/>
                </w:rPr>
                <w:t>–</w:t>
              </w:r>
              <w:r w:rsidRPr="004B4F83">
                <w:rPr>
                  <w:lang w:val="fr-BE"/>
                </w:rPr>
                <w:t>“</w:t>
              </w:r>
              <w:r w:rsidR="00394DBD" w:rsidRPr="004B4F83">
                <w:rPr>
                  <w:lang w:val="fr-BE"/>
                </w:rPr>
                <w:t>1</w:t>
              </w:r>
              <w:r w:rsidR="004B4F83">
                <w:rPr>
                  <w:lang w:val="fr-BE"/>
                </w:rPr>
                <w:t>05</w:t>
              </w:r>
              <w:r w:rsidR="00394DBD" w:rsidRPr="004B4F83">
                <w:rPr>
                  <w:lang w:val="fr-BE"/>
                </w:rPr>
                <w:t>3</w:t>
              </w:r>
              <w:r w:rsidRPr="004B4F83">
                <w:rPr>
                  <w:lang w:val="fr-BE"/>
                </w:rPr>
                <w:t>”</w:t>
              </w:r>
              <w:r w:rsidR="00394DBD" w:rsidRPr="004B4F83">
                <w:rPr>
                  <w:lang w:val="fr-BE"/>
                </w:rPr>
                <w:t xml:space="preserve"> RYDAPT |</w:t>
              </w:r>
            </w:p>
            <w:p w:rsidR="00394DBD" w:rsidRPr="004B4F83" w:rsidRDefault="000E2C47" w:rsidP="009015A3">
              <w:pPr>
                <w:pStyle w:val="Pieddepage"/>
                <w:tabs>
                  <w:tab w:val="right" w:pos="10065"/>
                </w:tabs>
                <w:rPr>
                  <w:rFonts w:ascii="Arial" w:hAnsi="Arial"/>
                  <w:color w:val="808080"/>
                  <w:sz w:val="16"/>
                  <w:lang w:val="fr-BE"/>
                </w:rPr>
              </w:pPr>
              <w:sdt>
                <w:sdtPr>
                  <w:rPr>
                    <w:lang w:val="fr-BE"/>
                  </w:rPr>
                  <w:alias w:val="Bedrijf"/>
                  <w:id w:val="2092194638"/>
                  <w:dataBinding w:prefixMappings="xmlns:ns0='http://schemas.openxmlformats.org/officeDocument/2006/extended-properties'" w:xpath="/ns0:Properties[1]/ns0:Company[1]" w:storeItemID="{6668398D-A668-4E3E-A5EB-62B293D839F1}"/>
                  <w:text/>
                </w:sdtPr>
                <w:sdtEndPr/>
                <w:sdtContent>
                  <w:r w:rsidR="00394DBD" w:rsidRPr="004B4F83">
                    <w:rPr>
                      <w:lang w:val="fr-BE"/>
                    </w:rPr>
                    <w:t>R.I.Z.I.V. - I.N.A.M.I.</w:t>
                  </w:r>
                </w:sdtContent>
              </w:sdt>
            </w:p>
          </w:tc>
        </w:tr>
      </w:tbl>
      <w:p w:rsidR="00394DBD" w:rsidRDefault="000E2C47">
        <w:pPr>
          <w:pStyle w:val="Pieddepage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2C47" w:rsidRDefault="000E2C47">
      <w:pPr>
        <w:spacing w:line="240" w:lineRule="auto"/>
      </w:pPr>
      <w:r>
        <w:separator/>
      </w:r>
    </w:p>
  </w:footnote>
  <w:footnote w:type="continuationSeparator" w:id="0">
    <w:p w:rsidR="000E2C47" w:rsidRDefault="000E2C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%2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BD174F3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06349E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AB6270"/>
    <w:multiLevelType w:val="hybridMultilevel"/>
    <w:tmpl w:val="3D10DA56"/>
    <w:lvl w:ilvl="0" w:tplc="D604FBF4">
      <w:start w:val="1"/>
      <w:numFmt w:val="decimal"/>
      <w:lvlText w:val="%1."/>
      <w:lvlJc w:val="left"/>
      <w:pPr>
        <w:ind w:left="855" w:hanging="495"/>
      </w:pPr>
      <w:rPr>
        <w:rFonts w:ascii="Calibri" w:hAnsi="Calibri" w:cs="Arial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E03372"/>
    <w:multiLevelType w:val="hybridMultilevel"/>
    <w:tmpl w:val="FED255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3F2984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42742"/>
    <w:multiLevelType w:val="singleLevel"/>
    <w:tmpl w:val="A93AB558"/>
    <w:lvl w:ilvl="0">
      <w:start w:val="3"/>
      <w:numFmt w:val="bullet"/>
      <w:lvlText w:val="-"/>
      <w:lvlJc w:val="left"/>
      <w:pPr>
        <w:tabs>
          <w:tab w:val="num" w:pos="1140"/>
        </w:tabs>
        <w:ind w:left="1140" w:hanging="570"/>
      </w:pPr>
      <w:rPr>
        <w:rFonts w:ascii="Times New Roman" w:hAnsi="Times New Roman" w:hint="default"/>
      </w:rPr>
    </w:lvl>
  </w:abstractNum>
  <w:abstractNum w:abstractNumId="8">
    <w:nsid w:val="3A114EC1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E75A48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C613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35147A"/>
    <w:multiLevelType w:val="hybridMultilevel"/>
    <w:tmpl w:val="96C8FF0A"/>
    <w:lvl w:ilvl="0" w:tplc="BA18A65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446180"/>
    <w:multiLevelType w:val="hybridMultilevel"/>
    <w:tmpl w:val="8738F3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983FF2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0150A"/>
    <w:multiLevelType w:val="hybridMultilevel"/>
    <w:tmpl w:val="2946DD1A"/>
    <w:lvl w:ilvl="0" w:tplc="28DAB76C">
      <w:start w:val="1"/>
      <w:numFmt w:val="decimal"/>
      <w:lvlText w:val="%1."/>
      <w:lvlJc w:val="left"/>
      <w:pPr>
        <w:ind w:left="855" w:hanging="495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2542EC"/>
    <w:multiLevelType w:val="hybridMultilevel"/>
    <w:tmpl w:val="7B2E2D68"/>
    <w:lvl w:ilvl="0" w:tplc="022A4800"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>
    <w:nsid w:val="72E804AA"/>
    <w:multiLevelType w:val="multilevel"/>
    <w:tmpl w:val="9474C8E0"/>
    <w:lvl w:ilvl="0">
      <w:start w:val="1"/>
      <w:numFmt w:val="decimal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6"/>
  </w:num>
  <w:num w:numId="2">
    <w:abstractNumId w:val="7"/>
  </w:num>
  <w:num w:numId="3">
    <w:abstractNumId w:val="4"/>
  </w:num>
  <w:num w:numId="4">
    <w:abstractNumId w:val="11"/>
  </w:num>
  <w:num w:numId="5">
    <w:abstractNumId w:val="5"/>
  </w:num>
  <w:num w:numId="6">
    <w:abstractNumId w:val="12"/>
  </w:num>
  <w:num w:numId="7">
    <w:abstractNumId w:val="1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0"/>
  </w:num>
  <w:num w:numId="13">
    <w:abstractNumId w:val="1"/>
  </w:num>
  <w:num w:numId="14">
    <w:abstractNumId w:val="4"/>
  </w:num>
  <w:num w:numId="15">
    <w:abstractNumId w:val="9"/>
  </w:num>
  <w:num w:numId="16">
    <w:abstractNumId w:val="6"/>
  </w:num>
  <w:num w:numId="17">
    <w:abstractNumId w:val="2"/>
  </w:num>
  <w:num w:numId="18">
    <w:abstractNumId w:val="3"/>
  </w:num>
  <w:num w:numId="19">
    <w:abstractNumId w:val="13"/>
  </w:num>
  <w:num w:numId="20">
    <w:abstractNumId w:val="14"/>
  </w:num>
  <w:num w:numId="21">
    <w:abstractNumId w:val="8"/>
  </w:num>
  <w:num w:numId="22">
    <w:abstractNumId w:val="10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208"/>
    <w:rsid w:val="00062693"/>
    <w:rsid w:val="00063E15"/>
    <w:rsid w:val="00065731"/>
    <w:rsid w:val="000775BE"/>
    <w:rsid w:val="0007768F"/>
    <w:rsid w:val="0008254D"/>
    <w:rsid w:val="000A0FC5"/>
    <w:rsid w:val="000A11CD"/>
    <w:rsid w:val="000A707F"/>
    <w:rsid w:val="000B3867"/>
    <w:rsid w:val="000C0064"/>
    <w:rsid w:val="000E11E7"/>
    <w:rsid w:val="000E2C47"/>
    <w:rsid w:val="000F492D"/>
    <w:rsid w:val="000F73D3"/>
    <w:rsid w:val="00130CE0"/>
    <w:rsid w:val="00154C07"/>
    <w:rsid w:val="00157401"/>
    <w:rsid w:val="001701C8"/>
    <w:rsid w:val="001917D7"/>
    <w:rsid w:val="001964E8"/>
    <w:rsid w:val="00196E33"/>
    <w:rsid w:val="001A7162"/>
    <w:rsid w:val="002116E3"/>
    <w:rsid w:val="0025761F"/>
    <w:rsid w:val="002C3AB0"/>
    <w:rsid w:val="002D3C8A"/>
    <w:rsid w:val="002D4698"/>
    <w:rsid w:val="002F1B57"/>
    <w:rsid w:val="003150F6"/>
    <w:rsid w:val="00332D29"/>
    <w:rsid w:val="00356562"/>
    <w:rsid w:val="00394BD7"/>
    <w:rsid w:val="00394DBD"/>
    <w:rsid w:val="004146C6"/>
    <w:rsid w:val="00435297"/>
    <w:rsid w:val="00473A7C"/>
    <w:rsid w:val="004932D3"/>
    <w:rsid w:val="00495856"/>
    <w:rsid w:val="004B4F83"/>
    <w:rsid w:val="004D5397"/>
    <w:rsid w:val="005000BB"/>
    <w:rsid w:val="0051110E"/>
    <w:rsid w:val="0051242B"/>
    <w:rsid w:val="00513796"/>
    <w:rsid w:val="00526C19"/>
    <w:rsid w:val="00562063"/>
    <w:rsid w:val="005645D4"/>
    <w:rsid w:val="00576B4B"/>
    <w:rsid w:val="00594674"/>
    <w:rsid w:val="005A0E60"/>
    <w:rsid w:val="005D6F99"/>
    <w:rsid w:val="005E134C"/>
    <w:rsid w:val="005F3F94"/>
    <w:rsid w:val="006220D9"/>
    <w:rsid w:val="00626273"/>
    <w:rsid w:val="00643CD7"/>
    <w:rsid w:val="00647EFC"/>
    <w:rsid w:val="00662346"/>
    <w:rsid w:val="006B3E3E"/>
    <w:rsid w:val="006D1B3F"/>
    <w:rsid w:val="006D47CD"/>
    <w:rsid w:val="006F13EA"/>
    <w:rsid w:val="006F2208"/>
    <w:rsid w:val="006F275B"/>
    <w:rsid w:val="0071742E"/>
    <w:rsid w:val="00721309"/>
    <w:rsid w:val="00721FF8"/>
    <w:rsid w:val="00762F6E"/>
    <w:rsid w:val="00785D88"/>
    <w:rsid w:val="007B6319"/>
    <w:rsid w:val="007C6C1D"/>
    <w:rsid w:val="007C7AF4"/>
    <w:rsid w:val="007E1F0C"/>
    <w:rsid w:val="007F0B03"/>
    <w:rsid w:val="0080397B"/>
    <w:rsid w:val="008E014C"/>
    <w:rsid w:val="008E4811"/>
    <w:rsid w:val="008E5774"/>
    <w:rsid w:val="008F68D9"/>
    <w:rsid w:val="008F7317"/>
    <w:rsid w:val="00900365"/>
    <w:rsid w:val="009015A3"/>
    <w:rsid w:val="00903A23"/>
    <w:rsid w:val="00907EF7"/>
    <w:rsid w:val="009349BB"/>
    <w:rsid w:val="00946CF9"/>
    <w:rsid w:val="00977F19"/>
    <w:rsid w:val="00985D56"/>
    <w:rsid w:val="00992CC2"/>
    <w:rsid w:val="009A0E8E"/>
    <w:rsid w:val="009A4D31"/>
    <w:rsid w:val="009A5122"/>
    <w:rsid w:val="009C6B66"/>
    <w:rsid w:val="009D7351"/>
    <w:rsid w:val="009D768F"/>
    <w:rsid w:val="009E00F7"/>
    <w:rsid w:val="00A318CF"/>
    <w:rsid w:val="00A31B1F"/>
    <w:rsid w:val="00A34C81"/>
    <w:rsid w:val="00A84435"/>
    <w:rsid w:val="00AA2A12"/>
    <w:rsid w:val="00AA506F"/>
    <w:rsid w:val="00AC280E"/>
    <w:rsid w:val="00AC6E2D"/>
    <w:rsid w:val="00AD652A"/>
    <w:rsid w:val="00AE1B81"/>
    <w:rsid w:val="00B21831"/>
    <w:rsid w:val="00B279BE"/>
    <w:rsid w:val="00B27C05"/>
    <w:rsid w:val="00B30994"/>
    <w:rsid w:val="00B512FC"/>
    <w:rsid w:val="00B66FF6"/>
    <w:rsid w:val="00BA5A57"/>
    <w:rsid w:val="00BB10A4"/>
    <w:rsid w:val="00BD2BA0"/>
    <w:rsid w:val="00C00C4B"/>
    <w:rsid w:val="00C55965"/>
    <w:rsid w:val="00C908FD"/>
    <w:rsid w:val="00C9350D"/>
    <w:rsid w:val="00C94722"/>
    <w:rsid w:val="00CC72D3"/>
    <w:rsid w:val="00CE7CCE"/>
    <w:rsid w:val="00CF6826"/>
    <w:rsid w:val="00D07969"/>
    <w:rsid w:val="00D44E25"/>
    <w:rsid w:val="00D63C1F"/>
    <w:rsid w:val="00D6580B"/>
    <w:rsid w:val="00D65CDD"/>
    <w:rsid w:val="00D70C89"/>
    <w:rsid w:val="00D83213"/>
    <w:rsid w:val="00DB6125"/>
    <w:rsid w:val="00E1268F"/>
    <w:rsid w:val="00E22665"/>
    <w:rsid w:val="00E3732F"/>
    <w:rsid w:val="00E609F1"/>
    <w:rsid w:val="00E70906"/>
    <w:rsid w:val="00E76E31"/>
    <w:rsid w:val="00E81EDA"/>
    <w:rsid w:val="00E875AE"/>
    <w:rsid w:val="00E90728"/>
    <w:rsid w:val="00E94E1D"/>
    <w:rsid w:val="00ED4CF3"/>
    <w:rsid w:val="00EE15BE"/>
    <w:rsid w:val="00EE3F69"/>
    <w:rsid w:val="00EF03FB"/>
    <w:rsid w:val="00F04FBE"/>
    <w:rsid w:val="00F37C48"/>
    <w:rsid w:val="00F459C1"/>
    <w:rsid w:val="00F50950"/>
    <w:rsid w:val="00F52B17"/>
    <w:rsid w:val="00F906B0"/>
    <w:rsid w:val="00FB6241"/>
    <w:rsid w:val="00FC6706"/>
    <w:rsid w:val="00FC6F5F"/>
    <w:rsid w:val="00FC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ard tekst"/>
    <w:next w:val="Sansinterligne"/>
    <w:qFormat/>
    <w:rsid w:val="009015A3"/>
    <w:pPr>
      <w:spacing w:after="0"/>
    </w:pPr>
    <w:rPr>
      <w:rFonts w:eastAsiaTheme="minorEastAsia"/>
      <w:sz w:val="20"/>
      <w:szCs w:val="20"/>
      <w:lang w:val="nl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015A3"/>
    <w:pPr>
      <w:numPr>
        <w:numId w:val="1"/>
      </w:numPr>
      <w:pBdr>
        <w:top w:val="single" w:sz="24" w:space="0" w:color="8DB3E2" w:themeColor="text2" w:themeTint="66"/>
        <w:left w:val="single" w:sz="24" w:space="0" w:color="8DB3E2" w:themeColor="text2" w:themeTint="66"/>
        <w:bottom w:val="single" w:sz="24" w:space="0" w:color="8DB3E2" w:themeColor="text2" w:themeTint="66"/>
        <w:right w:val="single" w:sz="24" w:space="0" w:color="8DB3E2" w:themeColor="text2" w:themeTint="66"/>
      </w:pBdr>
      <w:shd w:val="clear" w:color="auto" w:fill="8DB3E2" w:themeFill="text2" w:themeFillTint="66"/>
      <w:outlineLvl w:val="0"/>
    </w:pPr>
    <w:rPr>
      <w:rFonts w:eastAsiaTheme="minorHAnsi"/>
      <w:b/>
      <w:bCs/>
      <w:caps/>
      <w:color w:val="FFFFFF" w:themeColor="background1"/>
      <w:spacing w:val="40"/>
      <w:sz w:val="24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917D7"/>
    <w:pPr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eastAsiaTheme="minorHAnsi"/>
      <w:b/>
      <w:caps/>
      <w:color w:val="365F91" w:themeColor="accent1" w:themeShade="BF"/>
      <w:spacing w:val="15"/>
      <w:szCs w:val="24"/>
      <w:lang w:val="fr-BE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9015A3"/>
    <w:pPr>
      <w:numPr>
        <w:ilvl w:val="2"/>
      </w:numPr>
      <w:pBdr>
        <w:top w:val="single" w:sz="6" w:space="2" w:color="4F81BD" w:themeColor="accent1"/>
        <w:left w:val="single" w:sz="6" w:space="2" w:color="4F81BD" w:themeColor="accent1"/>
      </w:pBdr>
      <w:outlineLvl w:val="2"/>
    </w:pPr>
    <w:rPr>
      <w:caps w:val="0"/>
      <w:color w:val="243F60" w:themeColor="accent1" w:themeShade="7F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9015A3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240"/>
      <w:ind w:left="1077" w:hanging="1077"/>
      <w:outlineLvl w:val="3"/>
    </w:pPr>
    <w:rPr>
      <w:b w:val="0"/>
      <w:caps/>
      <w:color w:val="365F91" w:themeColor="accent1" w:themeShade="BF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5A3"/>
    <w:rPr>
      <w:b/>
      <w:bCs/>
      <w:caps/>
      <w:color w:val="FFFFFF" w:themeColor="background1"/>
      <w:spacing w:val="40"/>
      <w:sz w:val="24"/>
      <w:shd w:val="clear" w:color="auto" w:fill="8DB3E2" w:themeFill="text2" w:themeFillTint="66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1917D7"/>
    <w:rPr>
      <w:b/>
      <w:caps/>
      <w:color w:val="365F91" w:themeColor="accent1" w:themeShade="BF"/>
      <w:spacing w:val="15"/>
      <w:sz w:val="20"/>
      <w:szCs w:val="24"/>
      <w:shd w:val="clear" w:color="auto" w:fill="DBE5F1" w:themeFill="accent1" w:themeFillTint="33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9015A3"/>
    <w:rPr>
      <w:b/>
      <w:color w:val="243F60" w:themeColor="accent1" w:themeShade="7F"/>
      <w:spacing w:val="15"/>
      <w:sz w:val="24"/>
      <w:szCs w:val="24"/>
      <w:shd w:val="clear" w:color="auto" w:fill="DBE5F1" w:themeFill="accent1" w:themeFillTint="33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9015A3"/>
    <w:rPr>
      <w:caps/>
      <w:color w:val="365F91" w:themeColor="accent1" w:themeShade="BF"/>
      <w:spacing w:val="10"/>
      <w:sz w:val="24"/>
      <w:szCs w:val="24"/>
      <w:shd w:val="clear" w:color="auto" w:fill="DBE5F1" w:themeFill="accent1" w:themeFillTint="33"/>
      <w:lang w:val="fr-BE"/>
    </w:rPr>
  </w:style>
  <w:style w:type="character" w:styleId="Titredulivre">
    <w:name w:val="Book Title"/>
    <w:aliases w:val="Titel 2"/>
    <w:basedOn w:val="Emphaseple"/>
    <w:uiPriority w:val="33"/>
    <w:qFormat/>
    <w:rsid w:val="009015A3"/>
    <w:rPr>
      <w:rFonts w:ascii="Calibri" w:hAnsi="Calibri"/>
      <w:b/>
      <w:bCs/>
      <w:i w:val="0"/>
      <w:iCs w:val="0"/>
      <w:caps w:val="0"/>
      <w:smallCaps/>
      <w:color w:val="4F81BD" w:themeColor="accent1"/>
      <w:spacing w:val="30"/>
      <w:kern w:val="28"/>
      <w:sz w:val="32"/>
      <w:szCs w:val="52"/>
    </w:rPr>
  </w:style>
  <w:style w:type="paragraph" w:styleId="Titre">
    <w:name w:val="Title"/>
    <w:aliases w:val="Titel 1"/>
    <w:basedOn w:val="Normal"/>
    <w:next w:val="Normal"/>
    <w:link w:val="TitreCar"/>
    <w:autoRedefine/>
    <w:uiPriority w:val="10"/>
    <w:qFormat/>
    <w:rsid w:val="009015A3"/>
    <w:pPr>
      <w:spacing w:before="120"/>
      <w:jc w:val="both"/>
    </w:pPr>
    <w:rPr>
      <w:rFonts w:eastAsiaTheme="minorHAnsi"/>
      <w:caps/>
      <w:color w:val="4F81BD" w:themeColor="accent1"/>
      <w:spacing w:val="20"/>
      <w:kern w:val="28"/>
      <w:sz w:val="32"/>
      <w:szCs w:val="52"/>
    </w:rPr>
  </w:style>
  <w:style w:type="character" w:customStyle="1" w:styleId="TitreCar">
    <w:name w:val="Titre Car"/>
    <w:aliases w:val="Titel 1 Car"/>
    <w:basedOn w:val="Policepardfaut"/>
    <w:link w:val="Titre"/>
    <w:uiPriority w:val="10"/>
    <w:rsid w:val="009015A3"/>
    <w:rPr>
      <w:caps/>
      <w:color w:val="4F81BD" w:themeColor="accent1"/>
      <w:spacing w:val="20"/>
      <w:kern w:val="28"/>
      <w:sz w:val="32"/>
      <w:szCs w:val="52"/>
      <w:lang w:val="nl-BE"/>
    </w:rPr>
  </w:style>
  <w:style w:type="paragraph" w:customStyle="1" w:styleId="Typedocument">
    <w:name w:val="Type document"/>
    <w:basedOn w:val="Titre1"/>
    <w:next w:val="Sansinterligne"/>
    <w:qFormat/>
    <w:rsid w:val="009015A3"/>
    <w:pPr>
      <w:numPr>
        <w:numId w:val="0"/>
      </w:numPr>
    </w:pPr>
    <w:rPr>
      <w:rFonts w:eastAsiaTheme="minorEastAsia"/>
      <w:spacing w:val="20"/>
      <w:sz w:val="22"/>
    </w:rPr>
  </w:style>
  <w:style w:type="paragraph" w:styleId="Sansinterligne">
    <w:name w:val="No Spacing"/>
    <w:uiPriority w:val="1"/>
    <w:qFormat/>
    <w:rsid w:val="009015A3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styleId="Emphaseple">
    <w:name w:val="Subtle Emphasis"/>
    <w:basedOn w:val="Policepardfaut"/>
    <w:uiPriority w:val="19"/>
    <w:qFormat/>
    <w:rsid w:val="009015A3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5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5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paragraph" w:styleId="En-tte">
    <w:name w:val="header"/>
    <w:basedOn w:val="Normal"/>
    <w:link w:val="En-tteCar"/>
    <w:uiPriority w:val="99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5A3"/>
    <w:rPr>
      <w:rFonts w:eastAsiaTheme="minorEastAsia"/>
      <w:sz w:val="20"/>
      <w:szCs w:val="20"/>
      <w:lang w:val="nl-BE"/>
    </w:rPr>
  </w:style>
  <w:style w:type="paragraph" w:styleId="Pieddepage">
    <w:name w:val="footer"/>
    <w:basedOn w:val="Normal"/>
    <w:link w:val="PieddepageCar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9015A3"/>
    <w:rPr>
      <w:rFonts w:eastAsiaTheme="minorEastAsia"/>
      <w:sz w:val="20"/>
      <w:szCs w:val="20"/>
      <w:lang w:val="nl-BE"/>
    </w:rPr>
  </w:style>
  <w:style w:type="table" w:styleId="Grilledutableau">
    <w:name w:val="Table Grid"/>
    <w:basedOn w:val="TableauNormal"/>
    <w:uiPriority w:val="59"/>
    <w:rsid w:val="009015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5A3"/>
    <w:rPr>
      <w:rFonts w:ascii="Tahoma" w:eastAsiaTheme="minorEastAsia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link w:val="ParagraphedelisteCar"/>
    <w:uiPriority w:val="34"/>
    <w:qFormat/>
    <w:rsid w:val="00D658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6580B"/>
    <w:rPr>
      <w:rFonts w:ascii="Times New Roman" w:eastAsia="Times New Roman" w:hAnsi="Times New Roman" w:cs="Times New Roman"/>
      <w:sz w:val="24"/>
      <w:szCs w:val="20"/>
      <w:lang w:val="nl-BE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4811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4811"/>
    <w:rPr>
      <w:rFonts w:eastAsiaTheme="minorEastAsia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8E4811"/>
    <w:rPr>
      <w:vertAlign w:val="superscript"/>
    </w:rPr>
  </w:style>
  <w:style w:type="character" w:customStyle="1" w:styleId="Bodytext2">
    <w:name w:val="Body text (2)_"/>
    <w:basedOn w:val="Policepardfaut"/>
    <w:link w:val="Bodytext21"/>
    <w:uiPriority w:val="99"/>
    <w:rsid w:val="00E3732F"/>
    <w:rPr>
      <w:sz w:val="21"/>
      <w:szCs w:val="21"/>
      <w:shd w:val="clear" w:color="auto" w:fill="FFFFFF"/>
    </w:rPr>
  </w:style>
  <w:style w:type="character" w:customStyle="1" w:styleId="Heading1">
    <w:name w:val="Heading #1_"/>
    <w:basedOn w:val="Policepardfaut"/>
    <w:link w:val="Heading10"/>
    <w:uiPriority w:val="99"/>
    <w:rsid w:val="00E3732F"/>
    <w:rPr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3732F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3732F"/>
    <w:pPr>
      <w:widowControl w:val="0"/>
      <w:shd w:val="clear" w:color="auto" w:fill="FFFFFF"/>
      <w:spacing w:after="480" w:line="250" w:lineRule="exact"/>
      <w:ind w:hanging="557"/>
      <w:jc w:val="both"/>
    </w:pPr>
    <w:rPr>
      <w:rFonts w:eastAsiaTheme="minorHAnsi"/>
      <w:sz w:val="21"/>
      <w:szCs w:val="21"/>
      <w:lang w:val="en-US"/>
    </w:rPr>
  </w:style>
  <w:style w:type="paragraph" w:customStyle="1" w:styleId="Heading10">
    <w:name w:val="Heading #1"/>
    <w:basedOn w:val="Normal"/>
    <w:link w:val="Heading1"/>
    <w:uiPriority w:val="99"/>
    <w:rsid w:val="00E3732F"/>
    <w:pPr>
      <w:widowControl w:val="0"/>
      <w:shd w:val="clear" w:color="auto" w:fill="FFFFFF"/>
      <w:spacing w:before="480" w:after="300" w:line="240" w:lineRule="atLeast"/>
      <w:ind w:hanging="557"/>
      <w:jc w:val="both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0">
    <w:name w:val="Body text (2)"/>
    <w:basedOn w:val="Bodytext2"/>
    <w:uiPriority w:val="99"/>
    <w:rsid w:val="00526C19"/>
    <w:rPr>
      <w:sz w:val="21"/>
      <w:szCs w:val="21"/>
      <w:u w:val="single"/>
      <w:shd w:val="clear" w:color="auto" w:fill="FFFFFF"/>
    </w:rPr>
  </w:style>
  <w:style w:type="character" w:customStyle="1" w:styleId="Bodytext4">
    <w:name w:val="Body text (4)_"/>
    <w:basedOn w:val="Policepardfaut"/>
    <w:link w:val="Bodytext41"/>
    <w:uiPriority w:val="99"/>
    <w:rsid w:val="00526C19"/>
    <w:rPr>
      <w:i/>
      <w:i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6C19"/>
    <w:rPr>
      <w:i/>
      <w:iCs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26C19"/>
    <w:pPr>
      <w:widowControl w:val="0"/>
      <w:shd w:val="clear" w:color="auto" w:fill="FFFFFF"/>
      <w:spacing w:line="509" w:lineRule="exact"/>
      <w:ind w:hanging="557"/>
      <w:jc w:val="both"/>
    </w:pPr>
    <w:rPr>
      <w:rFonts w:eastAsiaTheme="minorHAnsi"/>
      <w:i/>
      <w:iCs/>
      <w:sz w:val="22"/>
      <w:szCs w:val="22"/>
      <w:lang w:val="en-US"/>
    </w:rPr>
  </w:style>
  <w:style w:type="character" w:customStyle="1" w:styleId="Tablecaption">
    <w:name w:val="Table caption_"/>
    <w:basedOn w:val="Policepardfaut"/>
    <w:link w:val="Tablecaption0"/>
    <w:uiPriority w:val="99"/>
    <w:rsid w:val="00526C19"/>
    <w:rPr>
      <w:b/>
      <w:bCs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26C19"/>
    <w:pPr>
      <w:widowControl w:val="0"/>
      <w:shd w:val="clear" w:color="auto" w:fill="FFFFFF"/>
      <w:spacing w:line="269" w:lineRule="exact"/>
      <w:ind w:hanging="1142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2">
    <w:name w:val="Body text (2)2"/>
    <w:basedOn w:val="Bodytext2"/>
    <w:uiPriority w:val="99"/>
    <w:rsid w:val="00526C19"/>
    <w:rPr>
      <w:sz w:val="21"/>
      <w:szCs w:val="2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Standaard tekst"/>
    <w:next w:val="Sansinterligne"/>
    <w:qFormat/>
    <w:rsid w:val="009015A3"/>
    <w:pPr>
      <w:spacing w:after="0"/>
    </w:pPr>
    <w:rPr>
      <w:rFonts w:eastAsiaTheme="minorEastAsia"/>
      <w:sz w:val="20"/>
      <w:szCs w:val="20"/>
      <w:lang w:val="nl-B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9015A3"/>
    <w:pPr>
      <w:numPr>
        <w:numId w:val="1"/>
      </w:numPr>
      <w:pBdr>
        <w:top w:val="single" w:sz="24" w:space="0" w:color="8DB3E2" w:themeColor="text2" w:themeTint="66"/>
        <w:left w:val="single" w:sz="24" w:space="0" w:color="8DB3E2" w:themeColor="text2" w:themeTint="66"/>
        <w:bottom w:val="single" w:sz="24" w:space="0" w:color="8DB3E2" w:themeColor="text2" w:themeTint="66"/>
        <w:right w:val="single" w:sz="24" w:space="0" w:color="8DB3E2" w:themeColor="text2" w:themeTint="66"/>
      </w:pBdr>
      <w:shd w:val="clear" w:color="auto" w:fill="8DB3E2" w:themeFill="text2" w:themeFillTint="66"/>
      <w:outlineLvl w:val="0"/>
    </w:pPr>
    <w:rPr>
      <w:rFonts w:eastAsiaTheme="minorHAnsi"/>
      <w:b/>
      <w:bCs/>
      <w:caps/>
      <w:color w:val="FFFFFF" w:themeColor="background1"/>
      <w:spacing w:val="40"/>
      <w:sz w:val="24"/>
      <w:szCs w:val="22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1917D7"/>
    <w:pPr>
      <w:numPr>
        <w:ilvl w:val="1"/>
        <w:numId w:val="1"/>
      </w:num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outlineLvl w:val="1"/>
    </w:pPr>
    <w:rPr>
      <w:rFonts w:eastAsiaTheme="minorHAnsi"/>
      <w:b/>
      <w:caps/>
      <w:color w:val="365F91" w:themeColor="accent1" w:themeShade="BF"/>
      <w:spacing w:val="15"/>
      <w:szCs w:val="24"/>
      <w:lang w:val="fr-BE"/>
    </w:rPr>
  </w:style>
  <w:style w:type="paragraph" w:styleId="Titre3">
    <w:name w:val="heading 3"/>
    <w:basedOn w:val="Titre2"/>
    <w:next w:val="Normal"/>
    <w:link w:val="Titre3Car"/>
    <w:autoRedefine/>
    <w:uiPriority w:val="9"/>
    <w:unhideWhenUsed/>
    <w:qFormat/>
    <w:rsid w:val="009015A3"/>
    <w:pPr>
      <w:numPr>
        <w:ilvl w:val="2"/>
      </w:numPr>
      <w:pBdr>
        <w:top w:val="single" w:sz="6" w:space="2" w:color="4F81BD" w:themeColor="accent1"/>
        <w:left w:val="single" w:sz="6" w:space="2" w:color="4F81BD" w:themeColor="accent1"/>
      </w:pBdr>
      <w:outlineLvl w:val="2"/>
    </w:pPr>
    <w:rPr>
      <w:caps w:val="0"/>
      <w:color w:val="243F60" w:themeColor="accent1" w:themeShade="7F"/>
    </w:rPr>
  </w:style>
  <w:style w:type="paragraph" w:styleId="Titre4">
    <w:name w:val="heading 4"/>
    <w:basedOn w:val="Titre3"/>
    <w:next w:val="Normal"/>
    <w:link w:val="Titre4Car"/>
    <w:autoRedefine/>
    <w:uiPriority w:val="9"/>
    <w:unhideWhenUsed/>
    <w:qFormat/>
    <w:rsid w:val="009015A3"/>
    <w:pPr>
      <w:numPr>
        <w:ilvl w:val="3"/>
      </w:numPr>
      <w:pBdr>
        <w:top w:val="dotted" w:sz="6" w:space="2" w:color="4F81BD" w:themeColor="accent1"/>
        <w:left w:val="dotted" w:sz="6" w:space="2" w:color="4F81BD" w:themeColor="accent1"/>
      </w:pBdr>
      <w:spacing w:before="240"/>
      <w:ind w:left="1077" w:hanging="1077"/>
      <w:outlineLvl w:val="3"/>
    </w:pPr>
    <w:rPr>
      <w:b w:val="0"/>
      <w:caps/>
      <w:color w:val="365F91" w:themeColor="accent1" w:themeShade="BF"/>
      <w:spacing w:val="1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15A3"/>
    <w:rPr>
      <w:b/>
      <w:bCs/>
      <w:caps/>
      <w:color w:val="FFFFFF" w:themeColor="background1"/>
      <w:spacing w:val="40"/>
      <w:sz w:val="24"/>
      <w:shd w:val="clear" w:color="auto" w:fill="8DB3E2" w:themeFill="text2" w:themeFillTint="66"/>
      <w:lang w:val="nl-BE"/>
    </w:rPr>
  </w:style>
  <w:style w:type="character" w:customStyle="1" w:styleId="Titre2Car">
    <w:name w:val="Titre 2 Car"/>
    <w:basedOn w:val="Policepardfaut"/>
    <w:link w:val="Titre2"/>
    <w:uiPriority w:val="9"/>
    <w:rsid w:val="001917D7"/>
    <w:rPr>
      <w:b/>
      <w:caps/>
      <w:color w:val="365F91" w:themeColor="accent1" w:themeShade="BF"/>
      <w:spacing w:val="15"/>
      <w:sz w:val="20"/>
      <w:szCs w:val="24"/>
      <w:shd w:val="clear" w:color="auto" w:fill="DBE5F1" w:themeFill="accent1" w:themeFillTint="33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9015A3"/>
    <w:rPr>
      <w:b/>
      <w:color w:val="243F60" w:themeColor="accent1" w:themeShade="7F"/>
      <w:spacing w:val="15"/>
      <w:sz w:val="24"/>
      <w:szCs w:val="24"/>
      <w:shd w:val="clear" w:color="auto" w:fill="DBE5F1" w:themeFill="accent1" w:themeFillTint="33"/>
      <w:lang w:val="fr-BE"/>
    </w:rPr>
  </w:style>
  <w:style w:type="character" w:customStyle="1" w:styleId="Titre4Car">
    <w:name w:val="Titre 4 Car"/>
    <w:basedOn w:val="Policepardfaut"/>
    <w:link w:val="Titre4"/>
    <w:uiPriority w:val="9"/>
    <w:rsid w:val="009015A3"/>
    <w:rPr>
      <w:caps/>
      <w:color w:val="365F91" w:themeColor="accent1" w:themeShade="BF"/>
      <w:spacing w:val="10"/>
      <w:sz w:val="24"/>
      <w:szCs w:val="24"/>
      <w:shd w:val="clear" w:color="auto" w:fill="DBE5F1" w:themeFill="accent1" w:themeFillTint="33"/>
      <w:lang w:val="fr-BE"/>
    </w:rPr>
  </w:style>
  <w:style w:type="character" w:styleId="Titredulivre">
    <w:name w:val="Book Title"/>
    <w:aliases w:val="Titel 2"/>
    <w:basedOn w:val="Emphaseple"/>
    <w:uiPriority w:val="33"/>
    <w:qFormat/>
    <w:rsid w:val="009015A3"/>
    <w:rPr>
      <w:rFonts w:ascii="Calibri" w:hAnsi="Calibri"/>
      <w:b/>
      <w:bCs/>
      <w:i w:val="0"/>
      <w:iCs w:val="0"/>
      <w:caps w:val="0"/>
      <w:smallCaps/>
      <w:color w:val="4F81BD" w:themeColor="accent1"/>
      <w:spacing w:val="30"/>
      <w:kern w:val="28"/>
      <w:sz w:val="32"/>
      <w:szCs w:val="52"/>
    </w:rPr>
  </w:style>
  <w:style w:type="paragraph" w:styleId="Titre">
    <w:name w:val="Title"/>
    <w:aliases w:val="Titel 1"/>
    <w:basedOn w:val="Normal"/>
    <w:next w:val="Normal"/>
    <w:link w:val="TitreCar"/>
    <w:autoRedefine/>
    <w:uiPriority w:val="10"/>
    <w:qFormat/>
    <w:rsid w:val="009015A3"/>
    <w:pPr>
      <w:spacing w:before="120"/>
      <w:jc w:val="both"/>
    </w:pPr>
    <w:rPr>
      <w:rFonts w:eastAsiaTheme="minorHAnsi"/>
      <w:caps/>
      <w:color w:val="4F81BD" w:themeColor="accent1"/>
      <w:spacing w:val="20"/>
      <w:kern w:val="28"/>
      <w:sz w:val="32"/>
      <w:szCs w:val="52"/>
    </w:rPr>
  </w:style>
  <w:style w:type="character" w:customStyle="1" w:styleId="TitreCar">
    <w:name w:val="Titre Car"/>
    <w:aliases w:val="Titel 1 Car"/>
    <w:basedOn w:val="Policepardfaut"/>
    <w:link w:val="Titre"/>
    <w:uiPriority w:val="10"/>
    <w:rsid w:val="009015A3"/>
    <w:rPr>
      <w:caps/>
      <w:color w:val="4F81BD" w:themeColor="accent1"/>
      <w:spacing w:val="20"/>
      <w:kern w:val="28"/>
      <w:sz w:val="32"/>
      <w:szCs w:val="52"/>
      <w:lang w:val="nl-BE"/>
    </w:rPr>
  </w:style>
  <w:style w:type="paragraph" w:customStyle="1" w:styleId="Typedocument">
    <w:name w:val="Type document"/>
    <w:basedOn w:val="Titre1"/>
    <w:next w:val="Sansinterligne"/>
    <w:qFormat/>
    <w:rsid w:val="009015A3"/>
    <w:pPr>
      <w:numPr>
        <w:numId w:val="0"/>
      </w:numPr>
    </w:pPr>
    <w:rPr>
      <w:rFonts w:eastAsiaTheme="minorEastAsia"/>
      <w:spacing w:val="20"/>
      <w:sz w:val="22"/>
    </w:rPr>
  </w:style>
  <w:style w:type="paragraph" w:styleId="Sansinterligne">
    <w:name w:val="No Spacing"/>
    <w:uiPriority w:val="1"/>
    <w:qFormat/>
    <w:rsid w:val="009015A3"/>
    <w:pPr>
      <w:spacing w:after="0" w:line="240" w:lineRule="auto"/>
    </w:pPr>
    <w:rPr>
      <w:rFonts w:eastAsiaTheme="minorEastAsia"/>
      <w:sz w:val="20"/>
      <w:szCs w:val="20"/>
      <w:lang w:val="nl-BE"/>
    </w:rPr>
  </w:style>
  <w:style w:type="character" w:styleId="Emphaseple">
    <w:name w:val="Subtle Emphasis"/>
    <w:basedOn w:val="Policepardfaut"/>
    <w:uiPriority w:val="19"/>
    <w:qFormat/>
    <w:rsid w:val="009015A3"/>
    <w:rPr>
      <w:i/>
      <w:iCs/>
      <w:color w:val="808080" w:themeColor="text1" w:themeTint="7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15A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9015A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nl-BE"/>
    </w:rPr>
  </w:style>
  <w:style w:type="paragraph" w:styleId="En-tte">
    <w:name w:val="header"/>
    <w:basedOn w:val="Normal"/>
    <w:link w:val="En-tteCar"/>
    <w:uiPriority w:val="99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015A3"/>
    <w:rPr>
      <w:rFonts w:eastAsiaTheme="minorEastAsia"/>
      <w:sz w:val="20"/>
      <w:szCs w:val="20"/>
      <w:lang w:val="nl-BE"/>
    </w:rPr>
  </w:style>
  <w:style w:type="paragraph" w:styleId="Pieddepage">
    <w:name w:val="footer"/>
    <w:basedOn w:val="Normal"/>
    <w:link w:val="PieddepageCar"/>
    <w:unhideWhenUsed/>
    <w:rsid w:val="009015A3"/>
    <w:pPr>
      <w:tabs>
        <w:tab w:val="center" w:pos="4680"/>
        <w:tab w:val="right" w:pos="936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9015A3"/>
    <w:rPr>
      <w:rFonts w:eastAsiaTheme="minorEastAsia"/>
      <w:sz w:val="20"/>
      <w:szCs w:val="20"/>
      <w:lang w:val="nl-BE"/>
    </w:rPr>
  </w:style>
  <w:style w:type="table" w:styleId="Grilledutableau">
    <w:name w:val="Table Grid"/>
    <w:basedOn w:val="TableauNormal"/>
    <w:uiPriority w:val="59"/>
    <w:rsid w:val="009015A3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015A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015A3"/>
    <w:rPr>
      <w:rFonts w:ascii="Tahoma" w:eastAsiaTheme="minorEastAsia" w:hAnsi="Tahoma" w:cs="Tahoma"/>
      <w:sz w:val="16"/>
      <w:szCs w:val="16"/>
      <w:lang w:val="nl-BE"/>
    </w:rPr>
  </w:style>
  <w:style w:type="paragraph" w:styleId="Paragraphedeliste">
    <w:name w:val="List Paragraph"/>
    <w:basedOn w:val="Normal"/>
    <w:link w:val="ParagraphedelisteCar"/>
    <w:uiPriority w:val="34"/>
    <w:qFormat/>
    <w:rsid w:val="00D6580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lang w:eastAsia="fr-FR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D6580B"/>
    <w:rPr>
      <w:rFonts w:ascii="Times New Roman" w:eastAsia="Times New Roman" w:hAnsi="Times New Roman" w:cs="Times New Roman"/>
      <w:sz w:val="24"/>
      <w:szCs w:val="20"/>
      <w:lang w:val="nl-BE"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E4811"/>
    <w:pPr>
      <w:spacing w:line="240" w:lineRule="auto"/>
    </w:p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E4811"/>
    <w:rPr>
      <w:rFonts w:eastAsiaTheme="minorEastAsia"/>
      <w:sz w:val="20"/>
      <w:szCs w:val="20"/>
      <w:lang w:val="nl-BE"/>
    </w:rPr>
  </w:style>
  <w:style w:type="character" w:styleId="Appelnotedebasdep">
    <w:name w:val="footnote reference"/>
    <w:basedOn w:val="Policepardfaut"/>
    <w:uiPriority w:val="99"/>
    <w:semiHidden/>
    <w:unhideWhenUsed/>
    <w:rsid w:val="008E4811"/>
    <w:rPr>
      <w:vertAlign w:val="superscript"/>
    </w:rPr>
  </w:style>
  <w:style w:type="character" w:customStyle="1" w:styleId="Bodytext2">
    <w:name w:val="Body text (2)_"/>
    <w:basedOn w:val="Policepardfaut"/>
    <w:link w:val="Bodytext21"/>
    <w:uiPriority w:val="99"/>
    <w:rsid w:val="00E3732F"/>
    <w:rPr>
      <w:sz w:val="21"/>
      <w:szCs w:val="21"/>
      <w:shd w:val="clear" w:color="auto" w:fill="FFFFFF"/>
    </w:rPr>
  </w:style>
  <w:style w:type="character" w:customStyle="1" w:styleId="Heading1">
    <w:name w:val="Heading #1_"/>
    <w:basedOn w:val="Policepardfaut"/>
    <w:link w:val="Heading10"/>
    <w:uiPriority w:val="99"/>
    <w:rsid w:val="00E3732F"/>
    <w:rPr>
      <w:b/>
      <w:bCs/>
      <w:sz w:val="21"/>
      <w:szCs w:val="21"/>
      <w:shd w:val="clear" w:color="auto" w:fill="FFFFFF"/>
    </w:rPr>
  </w:style>
  <w:style w:type="character" w:customStyle="1" w:styleId="Bodytext2Bold">
    <w:name w:val="Body text (2) + Bold"/>
    <w:basedOn w:val="Bodytext2"/>
    <w:uiPriority w:val="99"/>
    <w:rsid w:val="00E3732F"/>
    <w:rPr>
      <w:b/>
      <w:bCs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E3732F"/>
    <w:pPr>
      <w:widowControl w:val="0"/>
      <w:shd w:val="clear" w:color="auto" w:fill="FFFFFF"/>
      <w:spacing w:after="480" w:line="250" w:lineRule="exact"/>
      <w:ind w:hanging="557"/>
      <w:jc w:val="both"/>
    </w:pPr>
    <w:rPr>
      <w:rFonts w:eastAsiaTheme="minorHAnsi"/>
      <w:sz w:val="21"/>
      <w:szCs w:val="21"/>
      <w:lang w:val="en-US"/>
    </w:rPr>
  </w:style>
  <w:style w:type="paragraph" w:customStyle="1" w:styleId="Heading10">
    <w:name w:val="Heading #1"/>
    <w:basedOn w:val="Normal"/>
    <w:link w:val="Heading1"/>
    <w:uiPriority w:val="99"/>
    <w:rsid w:val="00E3732F"/>
    <w:pPr>
      <w:widowControl w:val="0"/>
      <w:shd w:val="clear" w:color="auto" w:fill="FFFFFF"/>
      <w:spacing w:before="480" w:after="300" w:line="240" w:lineRule="atLeast"/>
      <w:ind w:hanging="557"/>
      <w:jc w:val="both"/>
      <w:outlineLvl w:val="0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0">
    <w:name w:val="Body text (2)"/>
    <w:basedOn w:val="Bodytext2"/>
    <w:uiPriority w:val="99"/>
    <w:rsid w:val="00526C19"/>
    <w:rPr>
      <w:sz w:val="21"/>
      <w:szCs w:val="21"/>
      <w:u w:val="single"/>
      <w:shd w:val="clear" w:color="auto" w:fill="FFFFFF"/>
    </w:rPr>
  </w:style>
  <w:style w:type="character" w:customStyle="1" w:styleId="Bodytext4">
    <w:name w:val="Body text (4)_"/>
    <w:basedOn w:val="Policepardfaut"/>
    <w:link w:val="Bodytext41"/>
    <w:uiPriority w:val="99"/>
    <w:rsid w:val="00526C19"/>
    <w:rPr>
      <w:i/>
      <w:iCs/>
      <w:shd w:val="clear" w:color="auto" w:fill="FFFFFF"/>
    </w:rPr>
  </w:style>
  <w:style w:type="character" w:customStyle="1" w:styleId="Bodytext40">
    <w:name w:val="Body text (4)"/>
    <w:basedOn w:val="Bodytext4"/>
    <w:uiPriority w:val="99"/>
    <w:rsid w:val="00526C19"/>
    <w:rPr>
      <w:i/>
      <w:iCs/>
      <w:u w:val="single"/>
      <w:shd w:val="clear" w:color="auto" w:fill="FFFFFF"/>
    </w:rPr>
  </w:style>
  <w:style w:type="paragraph" w:customStyle="1" w:styleId="Bodytext41">
    <w:name w:val="Body text (4)1"/>
    <w:basedOn w:val="Normal"/>
    <w:link w:val="Bodytext4"/>
    <w:uiPriority w:val="99"/>
    <w:rsid w:val="00526C19"/>
    <w:pPr>
      <w:widowControl w:val="0"/>
      <w:shd w:val="clear" w:color="auto" w:fill="FFFFFF"/>
      <w:spacing w:line="509" w:lineRule="exact"/>
      <w:ind w:hanging="557"/>
      <w:jc w:val="both"/>
    </w:pPr>
    <w:rPr>
      <w:rFonts w:eastAsiaTheme="minorHAnsi"/>
      <w:i/>
      <w:iCs/>
      <w:sz w:val="22"/>
      <w:szCs w:val="22"/>
      <w:lang w:val="en-US"/>
    </w:rPr>
  </w:style>
  <w:style w:type="character" w:customStyle="1" w:styleId="Tablecaption">
    <w:name w:val="Table caption_"/>
    <w:basedOn w:val="Policepardfaut"/>
    <w:link w:val="Tablecaption0"/>
    <w:uiPriority w:val="99"/>
    <w:rsid w:val="00526C19"/>
    <w:rPr>
      <w:b/>
      <w:bCs/>
      <w:sz w:val="21"/>
      <w:szCs w:val="21"/>
      <w:shd w:val="clear" w:color="auto" w:fill="FFFFFF"/>
    </w:rPr>
  </w:style>
  <w:style w:type="paragraph" w:customStyle="1" w:styleId="Tablecaption0">
    <w:name w:val="Table caption"/>
    <w:basedOn w:val="Normal"/>
    <w:link w:val="Tablecaption"/>
    <w:uiPriority w:val="99"/>
    <w:rsid w:val="00526C19"/>
    <w:pPr>
      <w:widowControl w:val="0"/>
      <w:shd w:val="clear" w:color="auto" w:fill="FFFFFF"/>
      <w:spacing w:line="269" w:lineRule="exact"/>
      <w:ind w:hanging="1142"/>
    </w:pPr>
    <w:rPr>
      <w:rFonts w:eastAsiaTheme="minorHAnsi"/>
      <w:b/>
      <w:bCs/>
      <w:sz w:val="21"/>
      <w:szCs w:val="21"/>
      <w:lang w:val="en-US"/>
    </w:rPr>
  </w:style>
  <w:style w:type="character" w:customStyle="1" w:styleId="Bodytext22">
    <w:name w:val="Body text (2)2"/>
    <w:basedOn w:val="Bodytext2"/>
    <w:uiPriority w:val="99"/>
    <w:rsid w:val="00526C19"/>
    <w:rPr>
      <w:sz w:val="21"/>
      <w:szCs w:val="2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2016-11-16T23:00:00+00:00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Industrie pharmaceutique</TermName>
          <TermId xmlns="http://schemas.microsoft.com/office/infopath/2007/PartnerControls">83b39a11-269c-4339-a584-6d2618915f6d</TermId>
        </TermInfo>
        <TermInfo xmlns="http://schemas.microsoft.com/office/infopath/2007/PartnerControls">
          <TermName xmlns="http://schemas.microsoft.com/office/infopath/2007/PartnerControls">Pharmacien</TermName>
          <TermId xmlns="http://schemas.microsoft.com/office/infopath/2007/PartnerControls">afadc2d1-9390-4c99-b189-4366cd2906a2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10</Value>
      <Value>8</Value>
      <Value>29</Value>
      <Value>58</Value>
      <Value>43</Value>
      <Value>76</Value>
    </TaxCatchAll>
    <RIDocSummary xmlns="f15eea43-7fa7-45cf-8dc0-d5244e2cd467">Décision de cohorte relative au traitement des patients adultes présentant une leucémie myéloïde aigüe nouvellement diagnostiquée, avec mutation FLT3, éligibles à une chimiothérapie d’induction et de consolidation standard.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Médicaments</TermName>
          <TermId xmlns="http://schemas.microsoft.com/office/infopath/2007/PartnerControls">5c4b8432-7a7f-4679-b7fc-04dc5116b9e9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1B1161-98C1-4B8E-80C5-6E1A72B945A9}"/>
</file>

<file path=customXml/itemProps2.xml><?xml version="1.0" encoding="utf-8"?>
<ds:datastoreItem xmlns:ds="http://schemas.openxmlformats.org/officeDocument/2006/customXml" ds:itemID="{C856EED1-B47D-4B53-8994-1688C3F93226}"/>
</file>

<file path=customXml/itemProps3.xml><?xml version="1.0" encoding="utf-8"?>
<ds:datastoreItem xmlns:ds="http://schemas.openxmlformats.org/officeDocument/2006/customXml" ds:itemID="{A41D84E9-63EB-43EE-8E94-6109FCE13F6D}"/>
</file>

<file path=customXml/itemProps4.xml><?xml version="1.0" encoding="utf-8"?>
<ds:datastoreItem xmlns:ds="http://schemas.openxmlformats.org/officeDocument/2006/customXml" ds:itemID="{E95F3710-CAE6-4D57-AAF5-E441786CE951}"/>
</file>

<file path=docProps/app.xml><?xml version="1.0" encoding="utf-8"?>
<Properties xmlns="http://schemas.openxmlformats.org/officeDocument/2006/extended-properties" xmlns:vt="http://schemas.openxmlformats.org/officeDocument/2006/docPropsVTypes">
  <Template>DF0A0102.dotm</Template>
  <TotalTime>0</TotalTime>
  <Pages>3</Pages>
  <Words>1085</Words>
  <Characters>5971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7042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Besoin médical non rencontré - Unmet Medical Need - Décisions de cohorte</dc:title>
  <dc:creator>Florence Leveque</dc:creator>
  <cp:lastModifiedBy>David Constant</cp:lastModifiedBy>
  <cp:revision>8</cp:revision>
  <cp:lastPrinted>2016-09-22T16:03:00Z</cp:lastPrinted>
  <dcterms:created xsi:type="dcterms:W3CDTF">2016-11-16T14:14:00Z</dcterms:created>
  <dcterms:modified xsi:type="dcterms:W3CDTF">2016-11-17T14:14:00Z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29;#Médecin|d8a1e59b-bcd7-4d2f-b75c-23b993f6e1ad;#58;#Patient|2ebaf0cf-7353-4273-b1af-236262c84494;#76;#Industrie pharmaceutique|83b39a11-269c-4339-a584-6d2618915f6d;#43;#Pharmacien|afadc2d1-9390-4c99-b189-4366cd2906a2</vt:lpwstr>
  </property>
  <property fmtid="{D5CDD505-2E9C-101B-9397-08002B2CF9AE}" pid="4" name="RITheme">
    <vt:lpwstr>10;#Médicaments|5c4b8432-7a7f-4679-b7fc-04dc5116b9e9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